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057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05714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Kapoor Mohit</w:t>
        </w:r>
      </w:hyperlink>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ind w:firstLine="2"/>
        <w:spacing w:after="0" w:line="249"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0000FF"/>
        </w:rPr>
        <w:t>09/22/2021</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Sterling Check Corp.</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STER</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458" w:lineRule="exact"/>
        <w:rPr>
          <w:sz w:val="24"/>
          <w:szCs w:val="24"/>
          <w:color w:val="auto"/>
        </w:rPr>
      </w:pPr>
    </w:p>
    <w:p>
      <w:pPr>
        <w:sectPr>
          <w:pgSz w:w="11900" w:h="16838" w:orient="portrait"/>
          <w:cols w:equalWidth="0" w:num="3">
            <w:col w:w="2960" w:space="400"/>
            <w:col w:w="136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STERLING CHECK CORP.</w:t>
      </w:r>
    </w:p>
    <w:p>
      <w:pPr>
        <w:spacing w:after="0" w:line="70" w:lineRule="exact"/>
        <w:rPr>
          <w:sz w:val="24"/>
          <w:szCs w:val="24"/>
          <w:color w:val="auto"/>
        </w:rPr>
      </w:pPr>
    </w:p>
    <w:p>
      <w:pPr>
        <w:ind w:left="140" w:right="1437"/>
        <w:spacing w:after="0" w:line="269" w:lineRule="auto"/>
        <w:rPr>
          <w:sz w:val="20"/>
          <w:szCs w:val="20"/>
          <w:color w:val="auto"/>
        </w:rPr>
      </w:pPr>
      <w:r>
        <w:rPr>
          <w:rFonts w:ascii="Arial" w:cs="Arial" w:eastAsia="Arial" w:hAnsi="Arial"/>
          <w:sz w:val="20"/>
          <w:szCs w:val="20"/>
          <w:color w:val="0000FF"/>
        </w:rPr>
        <w:t>1 STATE STREET PLAZA, 24TH FLOOR</w:t>
      </w:r>
    </w:p>
    <w:p>
      <w:pPr>
        <w:spacing w:after="0" w:line="28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right="1597"/>
        <w:spacing w:after="0"/>
        <w:rPr>
          <w:sz w:val="20"/>
          <w:szCs w:val="20"/>
          <w:color w:val="auto"/>
        </w:rPr>
      </w:pPr>
      <w:r>
        <w:rPr>
          <w:rFonts w:ascii="Arial" w:cs="Arial" w:eastAsia="Arial" w:hAnsi="Arial"/>
          <w:sz w:val="39"/>
          <w:szCs w:val="39"/>
          <w:color w:val="0000FF"/>
          <w:vertAlign w:val="superscript"/>
        </w:rPr>
        <w:t>NEW</w:t>
      </w:r>
      <w:r>
        <w:rPr>
          <w:rFonts w:ascii="Arial" w:cs="Arial" w:eastAsia="Arial" w:hAnsi="Arial"/>
          <w:sz w:val="20"/>
          <w:szCs w:val="20"/>
          <w:color w:val="0000FF"/>
        </w:rPr>
        <w:t xml:space="preserve"> NY 10004 YORK</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4"/>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4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20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740" w:type="dxa"/>
            <w:vAlign w:val="bottom"/>
          </w:tcPr>
          <w:p>
            <w:pPr>
              <w:ind w:left="640"/>
              <w:spacing w:after="0"/>
              <w:rPr>
                <w:sz w:val="20"/>
                <w:szCs w:val="20"/>
                <w:color w:val="auto"/>
              </w:rPr>
            </w:pPr>
            <w:r>
              <w:rPr>
                <w:rFonts w:ascii="Arial" w:cs="Arial" w:eastAsia="Arial" w:hAnsi="Arial"/>
                <w:sz w:val="20"/>
                <w:szCs w:val="20"/>
                <w:color w:val="0000FF"/>
              </w:rPr>
              <w:t>34,338</w:t>
            </w:r>
          </w:p>
        </w:tc>
        <w:tc>
          <w:tcPr>
            <w:tcW w:w="880" w:type="dxa"/>
            <w:vAlign w:val="bottom"/>
            <w:gridSpan w:val="2"/>
          </w:tcPr>
          <w:p>
            <w:pPr>
              <w:ind w:left="720"/>
              <w:spacing w:after="0"/>
              <w:rPr>
                <w:sz w:val="20"/>
                <w:szCs w:val="20"/>
                <w:color w:val="auto"/>
              </w:rPr>
            </w:pPr>
            <w:r>
              <w:rPr>
                <w:rFonts w:ascii="Arial" w:cs="Arial" w:eastAsia="Arial" w:hAnsi="Arial"/>
                <w:sz w:val="20"/>
                <w:szCs w:val="20"/>
                <w:color w:val="0000FF"/>
                <w:w w:val="96"/>
              </w:rPr>
              <w:t>D</w:t>
            </w:r>
          </w:p>
        </w:tc>
        <w:tc>
          <w:tcPr>
            <w:tcW w:w="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6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(1)</w:t>
            </w:r>
          </w:p>
        </w:tc>
        <w:tc>
          <w:tcPr>
            <w:tcW w:w="900" w:type="dxa"/>
            <w:vAlign w:val="bottom"/>
          </w:tcPr>
          <w:p>
            <w:pPr>
              <w:jc w:val="right"/>
              <w:ind w:right="25"/>
              <w:spacing w:after="0"/>
              <w:rPr>
                <w:sz w:val="20"/>
                <w:szCs w:val="20"/>
                <w:color w:val="auto"/>
              </w:rPr>
            </w:pPr>
            <w:r>
              <w:rPr>
                <w:rFonts w:ascii="Arial" w:cs="Arial" w:eastAsia="Arial" w:hAnsi="Arial"/>
                <w:sz w:val="15"/>
                <w:szCs w:val="15"/>
                <w:color w:val="0000FF"/>
              </w:rPr>
              <w:t>05/22/2029</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73,101</w:t>
            </w:r>
          </w:p>
        </w:tc>
        <w:tc>
          <w:tcPr>
            <w:tcW w:w="40" w:type="dxa"/>
            <w:vAlign w:val="bottom"/>
          </w:tcPr>
          <w:p>
            <w:pPr>
              <w:spacing w:after="0"/>
              <w:rPr>
                <w:sz w:val="24"/>
                <w:szCs w:val="24"/>
                <w:color w:val="auto"/>
              </w:rPr>
            </w:pPr>
          </w:p>
        </w:tc>
        <w:tc>
          <w:tcPr>
            <w:tcW w:w="940" w:type="dxa"/>
            <w:vAlign w:val="bottom"/>
          </w:tcPr>
          <w:p>
            <w:pPr>
              <w:ind w:left="180"/>
              <w:spacing w:after="0"/>
              <w:rPr>
                <w:sz w:val="20"/>
                <w:szCs w:val="20"/>
                <w:color w:val="auto"/>
              </w:rPr>
            </w:pPr>
            <w:r>
              <w:rPr>
                <w:rFonts w:ascii="Arial" w:cs="Arial" w:eastAsia="Arial" w:hAnsi="Arial"/>
                <w:sz w:val="20"/>
                <w:szCs w:val="20"/>
                <w:color w:val="0000FF"/>
              </w:rPr>
              <w:t>9.6829</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color w:val="008000"/>
              </w:rPr>
              <w:t>1. This option is fully vested.</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4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00" w:type="dxa"/>
            <w:vAlign w:val="bottom"/>
            <w:gridSpan w:val="3"/>
          </w:tcPr>
          <w:p>
            <w:pPr>
              <w:spacing w:after="0"/>
              <w:rPr>
                <w:sz w:val="20"/>
                <w:szCs w:val="20"/>
                <w:color w:val="auto"/>
              </w:rPr>
            </w:pPr>
            <w:r>
              <w:rPr>
                <w:rFonts w:ascii="Arial" w:cs="Arial" w:eastAsia="Arial" w:hAnsi="Arial"/>
                <w:sz w:val="20"/>
                <w:szCs w:val="20"/>
                <w:color w:val="0000FF"/>
              </w:rPr>
              <w:t>/s/ Steven Barnett,</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Arial" w:cs="Arial" w:eastAsia="Arial" w:hAnsi="Arial"/>
                <w:sz w:val="20"/>
                <w:szCs w:val="20"/>
                <w:color w:val="0000FF"/>
                <w:w w:val="92"/>
              </w:rPr>
              <w:t>Attorney-in-Fact for Mohit 09/22/2021</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line="220" w:lineRule="exact"/>
              <w:rPr>
                <w:sz w:val="20"/>
                <w:szCs w:val="20"/>
                <w:color w:val="auto"/>
              </w:rPr>
            </w:pPr>
            <w:r>
              <w:rPr>
                <w:rFonts w:ascii="Arial" w:cs="Arial" w:eastAsia="Arial" w:hAnsi="Arial"/>
                <w:sz w:val="20"/>
                <w:szCs w:val="20"/>
                <w:color w:val="0000FF"/>
                <w:w w:val="86"/>
              </w:rPr>
              <w:t>Kapoor</w:t>
            </w:r>
          </w:p>
        </w:tc>
        <w:tc>
          <w:tcPr>
            <w:tcW w:w="1520" w:type="dxa"/>
            <w:vAlign w:val="bottom"/>
            <w:tcBorders>
              <w:top w:val="single" w:sz="8" w:color="auto"/>
            </w:tcBorders>
            <w:gridSpan w:val="2"/>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0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0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64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64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4"/>
          <w:szCs w:val="24"/>
          <w:color w:val="auto"/>
        </w:rPr>
        <w:t>POWER OF ATTORNEY</w:t>
      </w:r>
    </w:p>
    <w:p>
      <w:pPr>
        <w:spacing w:after="0" w:line="174" w:lineRule="exact"/>
        <w:rPr>
          <w:sz w:val="20"/>
          <w:szCs w:val="20"/>
          <w:color w:val="auto"/>
        </w:rPr>
      </w:pPr>
    </w:p>
    <w:p>
      <w:pPr>
        <w:ind w:right="20" w:firstLine="720"/>
        <w:spacing w:after="0" w:line="332" w:lineRule="auto"/>
        <w:rPr>
          <w:sz w:val="20"/>
          <w:szCs w:val="20"/>
          <w:color w:val="auto"/>
        </w:rPr>
      </w:pPr>
      <w:r>
        <w:rPr>
          <w:rFonts w:ascii="Arial" w:cs="Arial" w:eastAsia="Arial" w:hAnsi="Arial"/>
          <w:sz w:val="21"/>
          <w:szCs w:val="21"/>
          <w:color w:val="auto"/>
        </w:rPr>
        <w:t>Know all by these presents, that the undersigned hereby constitutes and appoints Steven Barnett and Peter Walker, and each of them, with full power of substitution, the undersigned’s true and lawful attorneys-in-fact to:</w:t>
      </w:r>
    </w:p>
    <w:p>
      <w:pPr>
        <w:spacing w:after="0" w:line="60" w:lineRule="exact"/>
        <w:rPr>
          <w:sz w:val="20"/>
          <w:szCs w:val="20"/>
          <w:color w:val="auto"/>
        </w:rPr>
      </w:pPr>
    </w:p>
    <w:p>
      <w:pPr>
        <w:ind w:left="1440" w:hanging="720"/>
        <w:spacing w:after="0" w:line="289" w:lineRule="auto"/>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executive officer, director and/or beneficial owner of equity securities of Sterling Ultimate Parent Corp. (the “</w:t>
      </w:r>
      <w:r>
        <w:rPr>
          <w:rFonts w:ascii="Arial" w:cs="Arial" w:eastAsia="Arial" w:hAnsi="Arial"/>
          <w:sz w:val="18"/>
          <w:szCs w:val="18"/>
          <w:u w:val="single" w:color="auto"/>
          <w:color w:val="auto"/>
        </w:rPr>
        <w:t>Company</w:t>
      </w:r>
      <w:r>
        <w:rPr>
          <w:rFonts w:ascii="Arial" w:cs="Arial" w:eastAsia="Arial" w:hAnsi="Arial"/>
          <w:sz w:val="18"/>
          <w:szCs w:val="18"/>
          <w:color w:val="auto"/>
        </w:rPr>
        <w:t>”), (i) any forms required to be filed by the undersigned pursuant to Rule 144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(ii) Forms 3, 4, and 5 in accordance with Section 16(a) of the Exchange Act, (iii) Schedules 13D and 13G in accordance with Section 13 of the Exchange Act, and (iv) and any other forms or reports the undersigned may be required to file in connection with the undersigned’s ownership, acquisition, or disposition of securities of the Company;</w:t>
      </w:r>
    </w:p>
    <w:p>
      <w:pPr>
        <w:spacing w:after="0" w:line="305" w:lineRule="exact"/>
        <w:rPr>
          <w:rFonts w:ascii="Arial" w:cs="Arial" w:eastAsia="Arial" w:hAnsi="Arial"/>
          <w:sz w:val="18"/>
          <w:szCs w:val="18"/>
          <w:color w:val="auto"/>
        </w:rPr>
      </w:pPr>
    </w:p>
    <w:p>
      <w:pPr>
        <w:ind w:left="1440" w:right="20" w:hanging="720"/>
        <w:spacing w:after="0" w:line="272" w:lineRule="auto"/>
        <w:tabs>
          <w:tab w:leader="none" w:pos="1440" w:val="left"/>
        </w:tabs>
        <w:numPr>
          <w:ilvl w:val="0"/>
          <w:numId w:val="6"/>
        </w:numPr>
        <w:rPr>
          <w:rFonts w:ascii="Arial" w:cs="Arial" w:eastAsia="Arial" w:hAnsi="Arial"/>
          <w:sz w:val="19"/>
          <w:szCs w:val="19"/>
          <w:color w:val="auto"/>
        </w:rPr>
      </w:pPr>
      <w:r>
        <w:rPr>
          <w:rFonts w:ascii="Arial" w:cs="Arial" w:eastAsia="Arial" w:hAnsi="Arial"/>
          <w:sz w:val="19"/>
          <w:szCs w:val="19"/>
          <w:color w:val="auto"/>
        </w:rPr>
        <w:t>do and perform any and all acts for and on behalf of the undersigned which may be necessary or desirable to complete and execute any such (i) form required to be filed by the undersigned pursuant to Rule 144 under the Securities Act, (ii) Form 3, 4, or 5 under Section 16(a) of the Exchange Act, (iii) Schedule 13D or 13G under Section 13 of the Exchange Act, or (iv) other form or report, including, without limitation, all forms or reports necessary to obtain EDGAR Identification Numbers, and timely file such form or report with the United States Securities and Exchange Commission and any stock exchange or similar authority; and</w:t>
      </w:r>
    </w:p>
    <w:p>
      <w:pPr>
        <w:spacing w:after="0" w:line="315" w:lineRule="exact"/>
        <w:rPr>
          <w:rFonts w:ascii="Arial" w:cs="Arial" w:eastAsia="Arial" w:hAnsi="Arial"/>
          <w:sz w:val="19"/>
          <w:szCs w:val="19"/>
          <w:color w:val="auto"/>
        </w:rPr>
      </w:pPr>
    </w:p>
    <w:p>
      <w:pPr>
        <w:ind w:left="1440" w:hanging="720"/>
        <w:spacing w:after="0" w:line="257" w:lineRule="auto"/>
        <w:tabs>
          <w:tab w:leader="none" w:pos="1440" w:val="left"/>
        </w:tabs>
        <w:numPr>
          <w:ilvl w:val="0"/>
          <w:numId w:val="6"/>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322" w:lineRule="exact"/>
        <w:rPr>
          <w:sz w:val="20"/>
          <w:szCs w:val="20"/>
          <w:color w:val="auto"/>
        </w:rPr>
      </w:pPr>
    </w:p>
    <w:p>
      <w:pPr>
        <w:ind w:right="20" w:firstLine="720"/>
        <w:spacing w:after="0" w:line="249" w:lineRule="auto"/>
        <w:rPr>
          <w:sz w:val="20"/>
          <w:szCs w:val="20"/>
          <w:color w:val="auto"/>
        </w:rPr>
      </w:pPr>
      <w:r>
        <w:rPr>
          <w:rFonts w:ascii="Arial" w:cs="Arial" w:eastAsia="Arial" w:hAnsi="Arial"/>
          <w:sz w:val="23"/>
          <w:szCs w:val="23"/>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Rule 144 under the Securities Act or Sections 13 or 16 of the Exchange Act.</w:t>
      </w:r>
    </w:p>
    <w:p>
      <w:pPr>
        <w:spacing w:after="0" w:line="142" w:lineRule="exact"/>
        <w:rPr>
          <w:sz w:val="20"/>
          <w:szCs w:val="20"/>
          <w:color w:val="auto"/>
        </w:rPr>
      </w:pPr>
    </w:p>
    <w:p>
      <w:pPr>
        <w:ind w:right="100" w:firstLine="720"/>
        <w:spacing w:after="0" w:line="284"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any form required to be filed by the undersigned pursuant to Rule 144 under the Securities Act, any Form 3, 4, or 5 under Section 16(a) of the Exchange Act, or any Schedule 13D or 13G under Section 13 of the Exchange Act with respect to the undersigned’s holdings of and transactions in securities issued by the Company, unless earlier revoked by the undersigned in a signed writing delivered to the foregoing attorneys-in-fact.</w:t>
      </w:r>
    </w:p>
    <w:p>
      <w:pPr>
        <w:spacing w:after="0" w:line="102" w:lineRule="exact"/>
        <w:rPr>
          <w:sz w:val="20"/>
          <w:szCs w:val="20"/>
          <w:color w:val="auto"/>
        </w:rPr>
      </w:pPr>
    </w:p>
    <w:p>
      <w:pPr>
        <w:ind w:right="280" w:firstLine="720"/>
        <w:spacing w:after="0" w:line="266" w:lineRule="auto"/>
        <w:rPr>
          <w:sz w:val="20"/>
          <w:szCs w:val="20"/>
          <w:color w:val="auto"/>
        </w:rPr>
      </w:pPr>
      <w:r>
        <w:rPr>
          <w:rFonts w:ascii="Arial" w:cs="Arial" w:eastAsia="Arial" w:hAnsi="Arial"/>
          <w:sz w:val="24"/>
          <w:szCs w:val="24"/>
          <w:color w:val="auto"/>
        </w:rPr>
        <w:t>IN WITNESS WHEREOF, the undersigned has caused this Power of Attorney to be executed as of this 15</w:t>
      </w:r>
      <w:r>
        <w:rPr>
          <w:rFonts w:ascii="Arial" w:cs="Arial" w:eastAsia="Arial" w:hAnsi="Arial"/>
          <w:sz w:val="40"/>
          <w:szCs w:val="40"/>
          <w:color w:val="auto"/>
          <w:vertAlign w:val="superscript"/>
        </w:rPr>
        <w:t>th</w:t>
      </w:r>
      <w:r>
        <w:rPr>
          <w:rFonts w:ascii="Arial" w:cs="Arial" w:eastAsia="Arial" w:hAnsi="Arial"/>
          <w:sz w:val="24"/>
          <w:szCs w:val="24"/>
          <w:color w:val="auto"/>
        </w:rPr>
        <w:t xml:space="preserve"> day of August, 2021.</w:t>
      </w:r>
    </w:p>
    <w:p>
      <w:pPr>
        <w:spacing w:after="0" w:line="200" w:lineRule="exact"/>
        <w:rPr>
          <w:sz w:val="20"/>
          <w:szCs w:val="20"/>
          <w:color w:val="auto"/>
        </w:rPr>
      </w:pPr>
    </w:p>
    <w:p>
      <w:pPr>
        <w:spacing w:after="0" w:line="223" w:lineRule="exact"/>
        <w:rPr>
          <w:sz w:val="20"/>
          <w:szCs w:val="20"/>
          <w:color w:val="auto"/>
        </w:rPr>
      </w:pPr>
    </w:p>
    <w:p>
      <w:pPr>
        <w:ind w:left="3280"/>
        <w:spacing w:after="0"/>
        <w:rPr>
          <w:sz w:val="20"/>
          <w:szCs w:val="20"/>
          <w:color w:val="auto"/>
        </w:rPr>
      </w:pPr>
      <w:r>
        <w:rPr>
          <w:rFonts w:ascii="Arial" w:cs="Arial" w:eastAsia="Arial" w:hAnsi="Arial"/>
          <w:sz w:val="20"/>
          <w:szCs w:val="20"/>
          <w:color w:val="auto"/>
        </w:rPr>
        <w:t>/s/ Mohit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2087245</wp:posOffset>
            </wp:positionH>
            <wp:positionV relativeFrom="paragraph">
              <wp:posOffset>16510</wp:posOffset>
            </wp:positionV>
            <wp:extent cx="277304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773045" cy="19050"/>
                    </a:xfrm>
                    <a:prstGeom prst="rect">
                      <a:avLst/>
                    </a:prstGeom>
                    <a:noFill/>
                  </pic:spPr>
                </pic:pic>
              </a:graphicData>
            </a:graphic>
          </wp:anchor>
        </w:drawing>
      </w:r>
    </w:p>
    <w:p>
      <w:pPr>
        <w:spacing w:after="0" w:line="20" w:lineRule="exact"/>
        <w:rPr>
          <w:sz w:val="20"/>
          <w:szCs w:val="20"/>
          <w:color w:val="auto"/>
        </w:rPr>
      </w:pPr>
    </w:p>
    <w:p>
      <w:pPr>
        <w:ind w:left="3280"/>
        <w:spacing w:after="0"/>
        <w:rPr>
          <w:sz w:val="20"/>
          <w:szCs w:val="20"/>
          <w:color w:val="auto"/>
        </w:rPr>
      </w:pPr>
      <w:r>
        <w:rPr>
          <w:rFonts w:ascii="Arial" w:cs="Arial" w:eastAsia="Arial" w:hAnsi="Arial"/>
          <w:sz w:val="20"/>
          <w:szCs w:val="20"/>
          <w:color w:val="auto"/>
        </w:rPr>
        <w:t>Mohit Kapoor</w:t>
      </w:r>
    </w:p>
    <w:sectPr>
      <w:pgSz w:w="11900" w:h="16838" w:orient="portrait"/>
      <w:cols w:equalWidth="0" w:num="1">
        <w:col w:w="10920"/>
      </w:cols>
      <w:pgMar w:left="480" w:top="92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882145" TargetMode="External"/><Relationship Id="rId11" Type="http://schemas.openxmlformats.org/officeDocument/2006/relationships/hyperlink" Target="http://www.sec.gov/cgi-bin/browse-edgar?action=getcompany&amp;CIK=00016450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2021-09-22T18:09:15Z</dcterms:created>
  <dcterms:modified xsi:type="dcterms:W3CDTF">2021-09-22T18:09:15Z</dcterms:modified>
</cp:coreProperties>
</file>