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789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78993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Kapoor Mohit</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Sterling Check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STER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10/31/2024</w:t>
            </w:r>
          </w:p>
        </w:tc>
        <w:tc>
          <w:tcPr>
            <w:tcW w:w="2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STERLING CHECK CORP.</w:t>
            </w:r>
          </w:p>
        </w:tc>
        <w:tc>
          <w:tcPr>
            <w:tcW w:w="120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6150 OAK TREE BOULEVARD, SUITE 490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INDEPENDENCE OH</w:t>
            </w:r>
          </w:p>
        </w:tc>
        <w:tc>
          <w:tcPr>
            <w:tcW w:w="1600" w:type="dxa"/>
            <w:vAlign w:val="bottom"/>
          </w:tcPr>
          <w:p>
            <w:pPr>
              <w:jc w:val="right"/>
              <w:ind w:right="666"/>
              <w:spacing w:after="0"/>
              <w:rPr>
                <w:sz w:val="20"/>
                <w:szCs w:val="20"/>
                <w:color w:val="auto"/>
              </w:rPr>
            </w:pPr>
            <w:r>
              <w:rPr>
                <w:rFonts w:ascii="Times New Roman" w:cs="Times New Roman" w:eastAsia="Times New Roman" w:hAnsi="Times New Roman"/>
                <w:sz w:val="17"/>
                <w:szCs w:val="17"/>
                <w:color w:val="0000FF"/>
              </w:rPr>
              <w:t>44131</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6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10/31/2024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82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72,211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(1)(2)</w:t>
            </w: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10/31/2024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(4)</w:t>
            </w:r>
          </w:p>
        </w:tc>
        <w:tc>
          <w:tcPr>
            <w:tcW w:w="8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12,756</w:t>
            </w:r>
            <w:r>
              <w:rPr>
                <w:rFonts w:ascii="Times New Roman" w:cs="Times New Roman" w:eastAsia="Times New Roman" w:hAnsi="Times New Roman"/>
                <w:sz w:val="21"/>
                <w:szCs w:val="21"/>
                <w:color w:val="008000"/>
                <w:vertAlign w:val="superscript"/>
              </w:rPr>
              <w:t>(3)</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ind w:right="38"/>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restart"/>
          </w:tcPr>
          <w:p>
            <w:pPr>
              <w:ind w:left="1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(8)</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(8)</w:t>
            </w:r>
          </w:p>
        </w:tc>
        <w:tc>
          <w:tcPr>
            <w:tcW w:w="66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24,424</w:t>
            </w:r>
          </w:p>
        </w:tc>
        <w:tc>
          <w:tcPr>
            <w:tcW w:w="64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20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w:t>
            </w: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10/31/2024</w:t>
            </w:r>
          </w:p>
        </w:tc>
        <w:tc>
          <w:tcPr>
            <w:tcW w:w="1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24,424</w:t>
            </w: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00" w:type="dxa"/>
            <w:vAlign w:val="bottom"/>
          </w:tcPr>
          <w:p>
            <w:pPr>
              <w:ind w:left="4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restart"/>
          </w:tcPr>
          <w:p>
            <w:pPr>
              <w:ind w:left="6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(5)(6)(7)</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(5)(6)(7)</w:t>
            </w:r>
          </w:p>
        </w:tc>
        <w:tc>
          <w:tcPr>
            <w:tcW w:w="660" w:type="dxa"/>
            <w:vAlign w:val="bottom"/>
            <w:vMerge w:val="restart"/>
          </w:tcPr>
          <w:p>
            <w:pPr>
              <w:jc w:val="right"/>
              <w:ind w:right="98"/>
              <w:spacing w:after="0"/>
              <w:rPr>
                <w:sz w:val="20"/>
                <w:szCs w:val="20"/>
                <w:color w:val="auto"/>
              </w:rPr>
            </w:pPr>
            <w:r>
              <w:rPr>
                <w:rFonts w:ascii="Times New Roman" w:cs="Times New Roman" w:eastAsia="Times New Roman" w:hAnsi="Times New Roman"/>
                <w:sz w:val="11"/>
                <w:szCs w:val="11"/>
                <w:color w:val="008000"/>
              </w:rPr>
              <w:t>(5)(6)(7)</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73,101</w:t>
            </w:r>
          </w:p>
        </w:tc>
        <w:tc>
          <w:tcPr>
            <w:tcW w:w="64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1"/>
                <w:szCs w:val="11"/>
                <w:color w:val="008000"/>
              </w:rPr>
              <w:t>(5)(6)(7)</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0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9.6829</w:t>
            </w: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10/31/2024</w:t>
            </w:r>
          </w:p>
        </w:tc>
        <w:tc>
          <w:tcPr>
            <w:tcW w:w="1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73,101</w:t>
            </w: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00" w:type="dxa"/>
            <w:vAlign w:val="bottom"/>
          </w:tcPr>
          <w:p>
            <w:pPr>
              <w:ind w:left="4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Company common stock ("Company Common Stock") were disposed of pursuant to the Agreement and Plan of Merger, dated as of February 28, 2024 (the "Merger Agreement"), by and among Sterling Check Corp., a Delaware corporation (the "Company"), First Advantage Corporation, a Delaware corporation ("Parent"), and Starter Merger Sub, Inc., a Delaware corporation and an indirect wholly-owned subsidiary of Parent, whereby at the effective time of the merger contemplated therein (the "Effective Time"), [Footnote continued below]</w:t>
      </w:r>
    </w:p>
    <w:p>
      <w:pPr>
        <w:spacing w:after="0" w:line="26" w:lineRule="exact"/>
        <w:rPr>
          <w:rFonts w:ascii="Times New Roman" w:cs="Times New Roman" w:eastAsia="Times New Roman" w:hAnsi="Times New Roman"/>
          <w:sz w:val="13"/>
          <w:szCs w:val="13"/>
          <w:color w:val="008000"/>
        </w:rPr>
      </w:pPr>
    </w:p>
    <w:p>
      <w:pPr>
        <w:ind w:left="40" w:right="20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[Footnote continued from above] each share of Company Common Stock issued and outstanding immediately prior to the Effective Time was converted into the right to receive, at the election of the holder of such share of Company Common Stock, and subject to proration in accordance with the Merger Agreement: (i) $16.73 per share in cash, without interest (the "Cash Consideration") or (ii) 0.979 shares of common stock, par value $0.001 per share, of Parent, together with cash in lieu of fractional shares, if any, at the rate per share of common stock of Parent of the last reported sale price of common stock of Parent on NASDAQ (as reported in The Wall Street Journal or, if not reported therein, in another authoritative source mutually selected by Parent and the Company) on the last complete trading day prior to the date of the Effective Time (the "Stock Consideration").</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shares of Company Common Stock subject to outstanding restricted stock awards.</w:t>
      </w:r>
    </w:p>
    <w:p>
      <w:pPr>
        <w:spacing w:after="0" w:line="43" w:lineRule="exact"/>
        <w:rPr>
          <w:rFonts w:ascii="Times New Roman" w:cs="Times New Roman" w:eastAsia="Times New Roman" w:hAnsi="Times New Roman"/>
          <w:sz w:val="13"/>
          <w:szCs w:val="13"/>
          <w:color w:val="008000"/>
        </w:rPr>
      </w:pPr>
    </w:p>
    <w:p>
      <w:pPr>
        <w:jc w:val="both"/>
        <w:ind w:left="40" w:right="22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restricted share of Company Common Stock (each, a "Company Restricted Share") was converted into the right to receive, at the election of the holder of such Company Restricted Share, and subject to proration in accordance with the Merger Agreement: (i) $16.73 per share in restricted cash (the "Restricted Cash Consideration") or (ii) 0.979 shares of Stock Consideration, in the form of restricted stock of Parent (the "Restricted Stock Consideration"), in either case, subject to substantially the same terms and conditions as were applicable to such Company Restricted Shares.</w:t>
      </w:r>
    </w:p>
    <w:p>
      <w:pPr>
        <w:spacing w:after="0" w:line="28" w:lineRule="exact"/>
        <w:rPr>
          <w:rFonts w:ascii="Times New Roman" w:cs="Times New Roman" w:eastAsia="Times New Roman" w:hAnsi="Times New Roman"/>
          <w:sz w:val="13"/>
          <w:szCs w:val="13"/>
          <w:color w:val="008000"/>
        </w:rPr>
      </w:pPr>
    </w:p>
    <w:p>
      <w:pPr>
        <w:ind w:left="40" w:right="20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outstanding in-the-money Company stock option (i.e., a stock option that has an exercise price per share that is less than the per-share cash consideration of $16.73) (each, an "In-The-Money Company Stock Option"), whether vested or unvested, was canceled, with the holder becoming entitled to receive merger consideration based on each share of Net Option Stock that is associated with such In-The-Money Company Stock Option. The number of shares of "Net Option Stock" subject to an In-The-Money Company Stock Option is the number of shares of Company Common Stock equal to the excess of $16.73 over the per-share exercise price of such In-The-Money Company Stock Option multiplied by the number of shares of Company Common Stock underlying such In-The-Money Company Stock Option divided by $16.73.</w:t>
      </w:r>
    </w:p>
    <w:p>
      <w:pPr>
        <w:spacing w:after="0" w:line="28" w:lineRule="exact"/>
        <w:rPr>
          <w:rFonts w:ascii="Times New Roman" w:cs="Times New Roman" w:eastAsia="Times New Roman" w:hAnsi="Times New Roman"/>
          <w:sz w:val="13"/>
          <w:szCs w:val="13"/>
          <w:color w:val="008000"/>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outstanding share of Net Option Stock associated with vested In-The-Money Company Stock Options ("Vested Net Option Stock") was converted into the right to receive, at the election of the holder, and subject to proration in accordance with the Merger Agreement: (i) the Cash Consideration or (ii) the Stock Consideration.</w:t>
      </w:r>
    </w:p>
    <w:p>
      <w:pPr>
        <w:spacing w:after="0" w:line="17"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outstanding share of Net Option Stock associated with unvested In-The-Money Company Stock Options ("Unvested Net Option Stock") was converted into the right to receive, at the election of the holder, and subject to proration in accordance with the Merger Agreement: (i) the Restricted Cash Consideration or (ii) the Restricted Stock Consideration, in either case, subject to substantially the same terms and conditions as were applicable under such In-The-Money Company Stock Options underlying the Unvested Net Option Stock.</w:t>
      </w:r>
    </w:p>
    <w:p>
      <w:pPr>
        <w:spacing w:after="0" w:line="26"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outstanding out-of-the-money Company Stock option (i.e., a stock option that has an exercise price per share that is greater than the per-share cash consideration of $16.73), whether vested or unvested, was canceled for no consideration.</w:t>
      </w:r>
    </w:p>
    <w:p>
      <w:pPr>
        <w:sectPr>
          <w:pgSz w:w="11900" w:h="16838" w:orient="portrait"/>
          <w:cols w:equalWidth="0" w:num="1">
            <w:col w:w="11080"/>
          </w:cols>
          <w:pgMar w:left="460" w:top="217" w:right="359" w:bottom="0" w:gutter="0" w:footer="0" w:header="0"/>
          <w:type w:val="continuous"/>
        </w:sectPr>
      </w:pPr>
    </w:p>
    <w:p>
      <w:pPr>
        <w:spacing w:after="0" w:line="44"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Amanda DeGasperi,</w:t>
      </w:r>
      <w:r>
        <w:rPr>
          <w:sz w:val="20"/>
          <w:szCs w:val="20"/>
          <w:color w:val="auto"/>
        </w:rPr>
        <w:tab/>
      </w:r>
      <w:r>
        <w:rPr>
          <w:rFonts w:ascii="Times New Roman" w:cs="Times New Roman" w:eastAsia="Times New Roman" w:hAnsi="Times New Roman"/>
          <w:sz w:val="16"/>
          <w:szCs w:val="16"/>
          <w:color w:val="0000FF"/>
        </w:rPr>
        <w:t>11/04/2024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0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Attorney-in-Fact for Mohit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153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319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3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82145" TargetMode="External"/><Relationship Id="rId14" Type="http://schemas.openxmlformats.org/officeDocument/2006/relationships/hyperlink" Target="http://www.sec.gov/cgi-bin/browse-edgar?action=getcompany&amp;CIK=00016450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2024-11-04T20:44:54Z</dcterms:created>
  <dcterms:modified xsi:type="dcterms:W3CDTF">2024-11-04T20:44:54Z</dcterms:modified>
</cp:coreProperties>
</file>