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6"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___________________________</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33"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___________________________</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8, 2024</w:t>
      </w:r>
    </w:p>
    <w:p>
      <w:pPr>
        <w:spacing w:after="0" w:line="27"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160655</wp:posOffset>
            </wp:positionV>
            <wp:extent cx="1294130"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13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Sterling Check Corp.</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___________________________</w:t>
      </w:r>
    </w:p>
    <w:p>
      <w:pPr>
        <w:spacing w:after="0" w:line="45" w:lineRule="exact"/>
        <w:rPr>
          <w:sz w:val="24"/>
          <w:szCs w:val="24"/>
          <w:color w:val="auto"/>
        </w:rPr>
      </w:pPr>
    </w:p>
    <w:tbl>
      <w:tblPr>
        <w:tblLayout w:type="fixed"/>
        <w:tblInd w:w="300" w:type="dxa"/>
        <w:tblCellMar>
          <w:top w:w="0" w:type="dxa"/>
          <w:left w:w="0" w:type="dxa"/>
          <w:bottom w:w="0" w:type="dxa"/>
          <w:right w:w="0" w:type="dxa"/>
        </w:tblCellMar>
      </w:tblPr>
      <w:tr>
        <w:trPr>
          <w:trHeight w:val="247"/>
        </w:trPr>
        <w:tc>
          <w:tcPr>
            <w:tcW w:w="3640" w:type="dxa"/>
            <w:vAlign w:val="bottom"/>
          </w:tcPr>
          <w:p>
            <w:pPr>
              <w:jc w:val="center"/>
              <w:ind w:right="170"/>
              <w:spacing w:after="0"/>
              <w:rPr>
                <w:sz w:val="20"/>
                <w:szCs w:val="20"/>
                <w:color w:val="auto"/>
              </w:rPr>
            </w:pPr>
            <w:r>
              <w:rPr>
                <w:rFonts w:ascii="Arial" w:cs="Arial" w:eastAsia="Arial" w:hAnsi="Arial"/>
                <w:sz w:val="18"/>
                <w:szCs w:val="18"/>
                <w:b w:val="1"/>
                <w:bCs w:val="1"/>
                <w:color w:val="auto"/>
                <w:w w:val="98"/>
              </w:rPr>
              <w:t>Delaware</w:t>
            </w:r>
          </w:p>
        </w:tc>
        <w:tc>
          <w:tcPr>
            <w:tcW w:w="2200" w:type="dxa"/>
            <w:vAlign w:val="bottom"/>
          </w:tcPr>
          <w:p>
            <w:pPr>
              <w:jc w:val="right"/>
              <w:ind w:right="10"/>
              <w:spacing w:after="0"/>
              <w:rPr>
                <w:sz w:val="20"/>
                <w:szCs w:val="20"/>
                <w:color w:val="auto"/>
              </w:rPr>
            </w:pPr>
            <w:r>
              <w:rPr>
                <w:rFonts w:ascii="Arial" w:cs="Arial" w:eastAsia="Arial" w:hAnsi="Arial"/>
                <w:sz w:val="18"/>
                <w:szCs w:val="18"/>
                <w:b w:val="1"/>
                <w:bCs w:val="1"/>
                <w:color w:val="auto"/>
              </w:rPr>
              <w:t>001-40829</w:t>
            </w:r>
          </w:p>
        </w:tc>
        <w:tc>
          <w:tcPr>
            <w:tcW w:w="1480" w:type="dxa"/>
            <w:vAlign w:val="bottom"/>
          </w:tcPr>
          <w:p>
            <w:pPr>
              <w:spacing w:after="0"/>
              <w:rPr>
                <w:sz w:val="21"/>
                <w:szCs w:val="21"/>
                <w:color w:val="auto"/>
              </w:rPr>
            </w:pPr>
          </w:p>
        </w:tc>
        <w:tc>
          <w:tcPr>
            <w:tcW w:w="2320" w:type="dxa"/>
            <w:vAlign w:val="bottom"/>
          </w:tcPr>
          <w:p>
            <w:pPr>
              <w:jc w:val="right"/>
              <w:ind w:right="130"/>
              <w:spacing w:after="0"/>
              <w:rPr>
                <w:sz w:val="20"/>
                <w:szCs w:val="20"/>
                <w:color w:val="auto"/>
              </w:rPr>
            </w:pPr>
            <w:r>
              <w:rPr>
                <w:rFonts w:ascii="Arial" w:cs="Arial" w:eastAsia="Arial" w:hAnsi="Arial"/>
                <w:sz w:val="18"/>
                <w:szCs w:val="18"/>
                <w:b w:val="1"/>
                <w:bCs w:val="1"/>
                <w:color w:val="auto"/>
              </w:rPr>
              <w:t>37-1784336</w:t>
            </w:r>
          </w:p>
        </w:tc>
      </w:tr>
      <w:tr>
        <w:trPr>
          <w:trHeight w:val="239"/>
        </w:trPr>
        <w:tc>
          <w:tcPr>
            <w:tcW w:w="3640" w:type="dxa"/>
            <w:vAlign w:val="bottom"/>
          </w:tcPr>
          <w:p>
            <w:pPr>
              <w:jc w:val="center"/>
              <w:ind w:right="150"/>
              <w:spacing w:after="0"/>
              <w:rPr>
                <w:sz w:val="20"/>
                <w:szCs w:val="20"/>
                <w:color w:val="auto"/>
              </w:rPr>
            </w:pPr>
            <w:r>
              <w:rPr>
                <w:rFonts w:ascii="Arial" w:cs="Arial" w:eastAsia="Arial" w:hAnsi="Arial"/>
                <w:sz w:val="18"/>
                <w:szCs w:val="18"/>
                <w:color w:val="auto"/>
                <w:w w:val="99"/>
              </w:rPr>
              <w:t>(State or other jurisdiction of incorporation)</w:t>
            </w:r>
          </w:p>
        </w:tc>
        <w:tc>
          <w:tcPr>
            <w:tcW w:w="3680" w:type="dxa"/>
            <w:vAlign w:val="bottom"/>
            <w:gridSpan w:val="2"/>
          </w:tcPr>
          <w:p>
            <w:pPr>
              <w:jc w:val="center"/>
              <w:ind w:right="250"/>
              <w:spacing w:after="0"/>
              <w:rPr>
                <w:sz w:val="20"/>
                <w:szCs w:val="20"/>
                <w:color w:val="auto"/>
              </w:rPr>
            </w:pPr>
            <w:r>
              <w:rPr>
                <w:rFonts w:ascii="Arial" w:cs="Arial" w:eastAsia="Arial" w:hAnsi="Arial"/>
                <w:sz w:val="18"/>
                <w:szCs w:val="18"/>
                <w:color w:val="auto"/>
                <w:w w:val="99"/>
              </w:rPr>
              <w:t>(Commission File Number)</w:t>
            </w:r>
          </w:p>
        </w:tc>
        <w:tc>
          <w:tcPr>
            <w:tcW w:w="2320" w:type="dxa"/>
            <w:vAlign w:val="bottom"/>
          </w:tcPr>
          <w:p>
            <w:pPr>
              <w:jc w:val="center"/>
              <w:ind w:left="830"/>
              <w:spacing w:after="0"/>
              <w:rPr>
                <w:sz w:val="20"/>
                <w:szCs w:val="20"/>
                <w:color w:val="auto"/>
              </w:rPr>
            </w:pPr>
            <w:r>
              <w:rPr>
                <w:rFonts w:ascii="Arial" w:cs="Arial" w:eastAsia="Arial" w:hAnsi="Arial"/>
                <w:sz w:val="18"/>
                <w:szCs w:val="18"/>
                <w:color w:val="auto"/>
                <w:w w:val="99"/>
              </w:rPr>
              <w:t>(I.R.S. Employer</w:t>
            </w:r>
          </w:p>
        </w:tc>
      </w:tr>
      <w:tr>
        <w:trPr>
          <w:trHeight w:val="239"/>
        </w:trPr>
        <w:tc>
          <w:tcPr>
            <w:tcW w:w="36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320" w:type="dxa"/>
            <w:vAlign w:val="bottom"/>
          </w:tcPr>
          <w:p>
            <w:pPr>
              <w:jc w:val="center"/>
              <w:ind w:left="830"/>
              <w:spacing w:after="0"/>
              <w:rPr>
                <w:sz w:val="20"/>
                <w:szCs w:val="20"/>
                <w:color w:val="auto"/>
              </w:rPr>
            </w:pPr>
            <w:r>
              <w:rPr>
                <w:rFonts w:ascii="Arial" w:cs="Arial" w:eastAsia="Arial" w:hAnsi="Arial"/>
                <w:sz w:val="18"/>
                <w:szCs w:val="18"/>
                <w:color w:val="auto"/>
                <w:w w:val="99"/>
              </w:rPr>
              <w:t>Identification No.)</w:t>
            </w:r>
          </w:p>
        </w:tc>
      </w:tr>
      <w:tr>
        <w:trPr>
          <w:trHeight w:val="278"/>
        </w:trPr>
        <w:tc>
          <w:tcPr>
            <w:tcW w:w="364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6150 Oak Tree Boulevard, Suite 490</w:t>
            </w:r>
          </w:p>
        </w:tc>
        <w:tc>
          <w:tcPr>
            <w:tcW w:w="2200" w:type="dxa"/>
            <w:vAlign w:val="bottom"/>
          </w:tcPr>
          <w:p>
            <w:pPr>
              <w:ind w:left="240"/>
              <w:spacing w:after="0"/>
              <w:rPr>
                <w:sz w:val="20"/>
                <w:szCs w:val="20"/>
                <w:color w:val="auto"/>
              </w:rPr>
            </w:pPr>
            <w:r>
              <w:rPr>
                <w:rFonts w:ascii="Arial" w:cs="Arial" w:eastAsia="Arial" w:hAnsi="Arial"/>
                <w:sz w:val="18"/>
                <w:szCs w:val="18"/>
                <w:b w:val="1"/>
                <w:bCs w:val="1"/>
                <w:color w:val="auto"/>
              </w:rPr>
              <w:t>Independence</w:t>
            </w:r>
          </w:p>
        </w:tc>
        <w:tc>
          <w:tcPr>
            <w:tcW w:w="1480" w:type="dxa"/>
            <w:vAlign w:val="bottom"/>
          </w:tcPr>
          <w:p>
            <w:pPr>
              <w:ind w:left="100"/>
              <w:spacing w:after="0"/>
              <w:rPr>
                <w:sz w:val="20"/>
                <w:szCs w:val="20"/>
                <w:color w:val="auto"/>
              </w:rPr>
            </w:pPr>
            <w:r>
              <w:rPr>
                <w:rFonts w:ascii="Arial" w:cs="Arial" w:eastAsia="Arial" w:hAnsi="Arial"/>
                <w:sz w:val="18"/>
                <w:szCs w:val="18"/>
                <w:b w:val="1"/>
                <w:bCs w:val="1"/>
                <w:color w:val="auto"/>
              </w:rPr>
              <w:t>Ohio</w:t>
            </w:r>
          </w:p>
        </w:tc>
        <w:tc>
          <w:tcPr>
            <w:tcW w:w="2320" w:type="dxa"/>
            <w:vAlign w:val="bottom"/>
          </w:tcPr>
          <w:p>
            <w:pPr>
              <w:jc w:val="right"/>
              <w:ind w:right="350"/>
              <w:spacing w:after="0"/>
              <w:rPr>
                <w:sz w:val="20"/>
                <w:szCs w:val="20"/>
                <w:color w:val="auto"/>
              </w:rPr>
            </w:pPr>
            <w:r>
              <w:rPr>
                <w:rFonts w:ascii="Arial" w:cs="Arial" w:eastAsia="Arial" w:hAnsi="Arial"/>
                <w:sz w:val="18"/>
                <w:szCs w:val="18"/>
                <w:b w:val="1"/>
                <w:bCs w:val="1"/>
                <w:color w:val="auto"/>
              </w:rPr>
              <w:t>44131</w:t>
            </w:r>
          </w:p>
        </w:tc>
      </w:tr>
      <w:tr>
        <w:trPr>
          <w:trHeight w:val="262"/>
        </w:trPr>
        <w:tc>
          <w:tcPr>
            <w:tcW w:w="5840" w:type="dxa"/>
            <w:vAlign w:val="bottom"/>
            <w:gridSpan w:val="2"/>
          </w:tcPr>
          <w:p>
            <w:pPr>
              <w:ind w:left="1820"/>
              <w:spacing w:after="0"/>
              <w:rPr>
                <w:sz w:val="20"/>
                <w:szCs w:val="20"/>
                <w:color w:val="auto"/>
              </w:rPr>
            </w:pPr>
            <w:r>
              <w:rPr>
                <w:rFonts w:ascii="Arial" w:cs="Arial" w:eastAsia="Arial" w:hAnsi="Arial"/>
                <w:sz w:val="18"/>
                <w:szCs w:val="18"/>
                <w:color w:val="auto"/>
              </w:rPr>
              <w:t>(Address of principal executive offices)</w:t>
            </w:r>
          </w:p>
        </w:tc>
        <w:tc>
          <w:tcPr>
            <w:tcW w:w="1480" w:type="dxa"/>
            <w:vAlign w:val="bottom"/>
          </w:tcPr>
          <w:p>
            <w:pPr>
              <w:spacing w:after="0"/>
              <w:rPr>
                <w:sz w:val="22"/>
                <w:szCs w:val="22"/>
                <w:color w:val="auto"/>
              </w:rPr>
            </w:pPr>
          </w:p>
        </w:tc>
        <w:tc>
          <w:tcPr>
            <w:tcW w:w="2320" w:type="dxa"/>
            <w:vAlign w:val="bottom"/>
          </w:tcPr>
          <w:p>
            <w:pPr>
              <w:jc w:val="center"/>
              <w:ind w:left="850"/>
              <w:spacing w:after="0"/>
              <w:rPr>
                <w:sz w:val="20"/>
                <w:szCs w:val="20"/>
                <w:color w:val="auto"/>
              </w:rPr>
            </w:pPr>
            <w:r>
              <w:rPr>
                <w:rFonts w:ascii="Arial" w:cs="Arial" w:eastAsia="Arial" w:hAnsi="Arial"/>
                <w:sz w:val="18"/>
                <w:szCs w:val="18"/>
                <w:color w:val="auto"/>
              </w:rPr>
              <w:t>(Zip code)</w:t>
            </w:r>
          </w:p>
        </w:tc>
      </w:tr>
    </w:tbl>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1 (800) 853-3228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9"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___________________________</w:t>
      </w:r>
    </w:p>
    <w:p>
      <w:pPr>
        <w:spacing w:after="0" w:line="234"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100" w:type="dxa"/>
            <w:vAlign w:val="bottom"/>
          </w:tcPr>
          <w:p>
            <w:pPr>
              <w:spacing w:after="0"/>
              <w:rPr>
                <w:sz w:val="22"/>
                <w:szCs w:val="22"/>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Symbol(s)</w:t>
            </w:r>
          </w:p>
        </w:tc>
        <w:tc>
          <w:tcPr>
            <w:tcW w:w="80" w:type="dxa"/>
            <w:vAlign w:val="bottom"/>
          </w:tcPr>
          <w:p>
            <w:pPr>
              <w:spacing w:after="0"/>
              <w:rPr>
                <w:sz w:val="22"/>
                <w:szCs w:val="22"/>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47"/>
        </w:trPr>
        <w:tc>
          <w:tcPr>
            <w:tcW w:w="4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Common stock, par value $0.01 per share</w:t>
            </w:r>
          </w:p>
        </w:tc>
        <w:tc>
          <w:tcPr>
            <w:tcW w:w="21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STER</w:t>
            </w:r>
          </w:p>
        </w:tc>
        <w:tc>
          <w:tcPr>
            <w:tcW w:w="484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r>
    </w:tbl>
    <w:p>
      <w:pPr>
        <w:spacing w:after="0" w:line="342"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88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5" w:lineRule="exact"/>
        <w:rPr>
          <w:sz w:val="24"/>
          <w:szCs w:val="24"/>
          <w:color w:val="auto"/>
        </w:rPr>
      </w:pPr>
    </w:p>
    <w:p>
      <w:pPr>
        <w:ind w:right="20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501015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4" w:right="33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2.02.</w:t>
        <w:tab/>
        <w:t>Results of Operations and Financial Condition.</w:t>
      </w:r>
    </w:p>
    <w:p>
      <w:pPr>
        <w:spacing w:after="0" w:line="171" w:lineRule="exact"/>
        <w:rPr>
          <w:sz w:val="20"/>
          <w:szCs w:val="20"/>
          <w:color w:val="auto"/>
        </w:rPr>
      </w:pPr>
    </w:p>
    <w:p>
      <w:pPr>
        <w:ind w:right="360" w:firstLine="405"/>
        <w:spacing w:after="0" w:line="287" w:lineRule="auto"/>
        <w:rPr>
          <w:sz w:val="20"/>
          <w:szCs w:val="20"/>
          <w:color w:val="auto"/>
        </w:rPr>
      </w:pPr>
      <w:r>
        <w:rPr>
          <w:rFonts w:ascii="Arial" w:cs="Arial" w:eastAsia="Arial" w:hAnsi="Arial"/>
          <w:sz w:val="18"/>
          <w:szCs w:val="18"/>
          <w:color w:val="auto"/>
        </w:rPr>
        <w:t>On August 8, 2024, Sterling Check Corp. (the “Company”) issued a press release announcing financial results for the quarter ended June 30, 2024, a copy of which is furnished as Exhibit 99.1 hereto and incorporated herein by reference.</w:t>
      </w:r>
    </w:p>
    <w:p>
      <w:pPr>
        <w:spacing w:after="0" w:line="18" w:lineRule="exact"/>
        <w:rPr>
          <w:sz w:val="20"/>
          <w:szCs w:val="20"/>
          <w:color w:val="auto"/>
        </w:rPr>
      </w:pPr>
    </w:p>
    <w:p>
      <w:pPr>
        <w:ind w:right="60" w:firstLine="405"/>
        <w:spacing w:after="0" w:line="282" w:lineRule="auto"/>
        <w:rPr>
          <w:sz w:val="20"/>
          <w:szCs w:val="20"/>
          <w:color w:val="auto"/>
        </w:rPr>
      </w:pPr>
      <w:r>
        <w:rPr>
          <w:rFonts w:ascii="Arial" w:cs="Arial" w:eastAsia="Arial" w:hAnsi="Arial"/>
          <w:sz w:val="17"/>
          <w:szCs w:val="17"/>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200" w:lineRule="exact"/>
        <w:rPr>
          <w:sz w:val="20"/>
          <w:szCs w:val="20"/>
          <w:color w:val="auto"/>
        </w:rPr>
      </w:pPr>
    </w:p>
    <w:p>
      <w:pPr>
        <w:spacing w:after="0" w:line="24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99.1</w:t>
            </w:r>
          </w:p>
        </w:tc>
        <w:tc>
          <w:tcPr>
            <w:tcW w:w="1580" w:type="dxa"/>
            <w:vAlign w:val="bottom"/>
          </w:tcPr>
          <w:p>
            <w:pPr>
              <w:spacing w:after="0"/>
              <w:rPr>
                <w:sz w:val="20"/>
                <w:szCs w:val="20"/>
                <w:color w:val="auto"/>
              </w:rPr>
            </w:pPr>
          </w:p>
        </w:tc>
        <w:tc>
          <w:tcPr>
            <w:tcW w:w="49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Press Release of Sterling Check Corp., dated August 8, 2024.</w:t>
            </w:r>
          </w:p>
        </w:tc>
        <w:tc>
          <w:tcPr>
            <w:tcW w:w="3760" w:type="dxa"/>
            <w:vAlign w:val="bottom"/>
          </w:tcPr>
          <w:p>
            <w:pPr>
              <w:spacing w:after="0"/>
              <w:rPr>
                <w:sz w:val="20"/>
                <w:szCs w:val="20"/>
                <w:color w:val="auto"/>
              </w:rPr>
            </w:pPr>
          </w:p>
        </w:tc>
      </w:tr>
      <w:tr>
        <w:trPr>
          <w:trHeight w:val="281"/>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1580" w:type="dxa"/>
            <w:vAlign w:val="bottom"/>
          </w:tcPr>
          <w:p>
            <w:pPr>
              <w:spacing w:after="0"/>
              <w:rPr>
                <w:sz w:val="24"/>
                <w:szCs w:val="24"/>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988"/>
        </w:trPr>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spacing w:after="0" w:line="30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28"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24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STERLING CHECK CORP.</w:t>
            </w:r>
          </w:p>
        </w:tc>
      </w:tr>
      <w:tr>
        <w:trPr>
          <w:trHeight w:val="272"/>
        </w:trPr>
        <w:tc>
          <w:tcPr>
            <w:tcW w:w="2460" w:type="dxa"/>
            <w:vAlign w:val="bottom"/>
          </w:tcPr>
          <w:p>
            <w:pPr>
              <w:spacing w:after="0"/>
              <w:rPr>
                <w:sz w:val="20"/>
                <w:szCs w:val="20"/>
                <w:color w:val="auto"/>
              </w:rPr>
            </w:pPr>
            <w:r>
              <w:rPr>
                <w:rFonts w:ascii="Arial" w:cs="Arial" w:eastAsia="Arial" w:hAnsi="Arial"/>
                <w:sz w:val="18"/>
                <w:szCs w:val="18"/>
                <w:color w:val="auto"/>
              </w:rPr>
              <w:t>August 8, 2024</w:t>
            </w:r>
          </w:p>
        </w:tc>
        <w:tc>
          <w:tcPr>
            <w:tcW w:w="2380" w:type="dxa"/>
            <w:vAlign w:val="bottom"/>
          </w:tcPr>
          <w:p>
            <w:pPr>
              <w:ind w:left="1240"/>
              <w:spacing w:after="0"/>
              <w:rPr>
                <w:sz w:val="20"/>
                <w:szCs w:val="20"/>
                <w:color w:val="auto"/>
              </w:rPr>
            </w:pPr>
            <w:r>
              <w:rPr>
                <w:rFonts w:ascii="Arial" w:cs="Arial" w:eastAsia="Arial" w:hAnsi="Arial"/>
                <w:sz w:val="18"/>
                <w:szCs w:val="18"/>
                <w:color w:val="auto"/>
              </w:rPr>
              <w:t>By:</w:t>
            </w:r>
          </w:p>
        </w:tc>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BARNETT</w:t>
            </w:r>
          </w:p>
        </w:tc>
      </w:tr>
      <w:tr>
        <w:trPr>
          <w:trHeight w:val="232"/>
        </w:trPr>
        <w:tc>
          <w:tcPr>
            <w:tcW w:w="2460" w:type="dxa"/>
            <w:vAlign w:val="bottom"/>
          </w:tcPr>
          <w:p>
            <w:pPr>
              <w:spacing w:after="0"/>
              <w:rPr>
                <w:sz w:val="20"/>
                <w:szCs w:val="20"/>
                <w:color w:val="auto"/>
              </w:rPr>
            </w:pPr>
          </w:p>
        </w:tc>
        <w:tc>
          <w:tcPr>
            <w:tcW w:w="2380" w:type="dxa"/>
            <w:vAlign w:val="bottom"/>
          </w:tcPr>
          <w:p>
            <w:pPr>
              <w:ind w:left="1240"/>
              <w:spacing w:after="0"/>
              <w:rPr>
                <w:sz w:val="20"/>
                <w:szCs w:val="20"/>
                <w:color w:val="auto"/>
              </w:rPr>
            </w:pPr>
            <w:r>
              <w:rPr>
                <w:rFonts w:ascii="Arial" w:cs="Arial" w:eastAsia="Arial" w:hAnsi="Arial"/>
                <w:sz w:val="18"/>
                <w:szCs w:val="18"/>
                <w:color w:val="auto"/>
              </w:rPr>
              <w:t>Name:</w:t>
            </w:r>
          </w:p>
        </w:tc>
        <w:tc>
          <w:tcPr>
            <w:tcW w:w="5880" w:type="dxa"/>
            <w:vAlign w:val="bottom"/>
          </w:tcPr>
          <w:p>
            <w:pPr>
              <w:ind w:left="20"/>
              <w:spacing w:after="0"/>
              <w:rPr>
                <w:sz w:val="20"/>
                <w:szCs w:val="20"/>
                <w:color w:val="auto"/>
              </w:rPr>
            </w:pPr>
            <w:r>
              <w:rPr>
                <w:rFonts w:ascii="Arial" w:cs="Arial" w:eastAsia="Arial" w:hAnsi="Arial"/>
                <w:sz w:val="18"/>
                <w:szCs w:val="18"/>
                <w:color w:val="auto"/>
              </w:rPr>
              <w:t>Steven Barnett</w:t>
            </w:r>
          </w:p>
        </w:tc>
      </w:tr>
      <w:tr>
        <w:trPr>
          <w:trHeight w:val="251"/>
        </w:trPr>
        <w:tc>
          <w:tcPr>
            <w:tcW w:w="2460" w:type="dxa"/>
            <w:vAlign w:val="bottom"/>
          </w:tcPr>
          <w:p>
            <w:pPr>
              <w:spacing w:after="0"/>
              <w:rPr>
                <w:sz w:val="21"/>
                <w:szCs w:val="21"/>
                <w:color w:val="auto"/>
              </w:rPr>
            </w:pPr>
          </w:p>
        </w:tc>
        <w:tc>
          <w:tcPr>
            <w:tcW w:w="2380" w:type="dxa"/>
            <w:vAlign w:val="bottom"/>
          </w:tcPr>
          <w:p>
            <w:pPr>
              <w:ind w:left="1240"/>
              <w:spacing w:after="0"/>
              <w:rPr>
                <w:sz w:val="20"/>
                <w:szCs w:val="20"/>
                <w:color w:val="auto"/>
              </w:rPr>
            </w:pPr>
            <w:r>
              <w:rPr>
                <w:rFonts w:ascii="Arial" w:cs="Arial" w:eastAsia="Arial" w:hAnsi="Arial"/>
                <w:sz w:val="18"/>
                <w:szCs w:val="18"/>
                <w:color w:val="auto"/>
              </w:rPr>
              <w:t>Title:</w:t>
            </w:r>
          </w:p>
        </w:tc>
        <w:tc>
          <w:tcPr>
            <w:tcW w:w="5880" w:type="dxa"/>
            <w:vAlign w:val="bottom"/>
          </w:tcPr>
          <w:p>
            <w:pPr>
              <w:ind w:left="20"/>
              <w:spacing w:after="0"/>
              <w:rPr>
                <w:sz w:val="20"/>
                <w:szCs w:val="20"/>
                <w:color w:val="auto"/>
              </w:rPr>
            </w:pPr>
            <w:r>
              <w:rPr>
                <w:rFonts w:ascii="Arial" w:cs="Arial" w:eastAsia="Arial" w:hAnsi="Arial"/>
                <w:sz w:val="18"/>
                <w:szCs w:val="18"/>
                <w:color w:val="auto"/>
              </w:rPr>
              <w:t>Executive Vice President, Secretary and</w:t>
            </w:r>
          </w:p>
        </w:tc>
      </w:tr>
      <w:tr>
        <w:trPr>
          <w:trHeight w:val="257"/>
        </w:trPr>
        <w:tc>
          <w:tcPr>
            <w:tcW w:w="24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5880" w:type="dxa"/>
            <w:vAlign w:val="bottom"/>
          </w:tcPr>
          <w:p>
            <w:pPr>
              <w:ind w:left="20"/>
              <w:spacing w:after="0"/>
              <w:rPr>
                <w:sz w:val="20"/>
                <w:szCs w:val="20"/>
                <w:color w:val="auto"/>
              </w:rPr>
            </w:pPr>
            <w:r>
              <w:rPr>
                <w:rFonts w:ascii="Arial" w:cs="Arial" w:eastAsia="Arial" w:hAnsi="Arial"/>
                <w:sz w:val="18"/>
                <w:szCs w:val="18"/>
                <w:color w:val="auto"/>
              </w:rPr>
              <w:t>Chief Legal &amp; Risk Officer</w:t>
            </w:r>
          </w:p>
        </w:tc>
      </w:tr>
    </w:tbl>
    <w:p>
      <w:pPr>
        <w:sectPr>
          <w:pgSz w:w="11900" w:h="16838" w:orient="portrait"/>
          <w:cols w:equalWidth="0" w:num="1">
            <w:col w:w="10740"/>
          </w:cols>
          <w:pgMar w:left="320" w:top="1440" w:right="8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214630</wp:posOffset>
            </wp:positionV>
            <wp:extent cx="1294130" cy="360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13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Sterling Reports Second Quarter 2024 Results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Accelerated revenue growth including improvement in Organic Growth from New Business, Up/Cross-Sell, and Client Retention</w:t>
      </w:r>
    </w:p>
    <w:p>
      <w:pPr>
        <w:spacing w:after="0" w:line="34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OHIO, August 8, 2024 (GLOBENEWSWIRE) – Sterling Check Corp. (NASDAQ: STER) (“Sterling” or “the Company”) a leading global provider of technology-enabled background and identity verification services, today announced financial results for the second quarter ended June 30,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2024 Highlights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 results compared to prior-year period, except where otherwise noted.</w:t>
      </w:r>
    </w:p>
    <w:p>
      <w:pPr>
        <w:spacing w:after="0" w:line="63" w:lineRule="exact"/>
        <w:rPr>
          <w:sz w:val="20"/>
          <w:szCs w:val="20"/>
          <w:color w:val="auto"/>
        </w:rPr>
      </w:pPr>
    </w:p>
    <w:p>
      <w:pPr>
        <w:ind w:left="580" w:right="220" w:hanging="329"/>
        <w:spacing w:after="0" w:line="259" w:lineRule="auto"/>
        <w:tabs>
          <w:tab w:leader="none" w:pos="57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Revenues increased 5.3% year-over-year to $200.5 million. Organic constant currency revenue decreased 0.9% from the prior year period and inorganic revenue grew 6.2% from the prior year period. Year-over-year organic revenue trends in the second quarter of 2024 improved from the first quarter of 2024, including an acceleration in growth from new business to 7% year-over-year, an acceleration in growth from up-sell/cross-sell to 9% year-over-year, and continued strong trends in customer retention of 97%. Base business declined 14% year-over-year, reflecting an improvement from the first quarter as well.</w:t>
      </w:r>
    </w:p>
    <w:p>
      <w:pPr>
        <w:spacing w:after="0" w:line="17" w:lineRule="exact"/>
        <w:rPr>
          <w:rFonts w:ascii="Arial" w:cs="Arial" w:eastAsia="Arial" w:hAnsi="Arial"/>
          <w:sz w:val="18"/>
          <w:szCs w:val="18"/>
          <w:color w:val="auto"/>
        </w:rPr>
      </w:pPr>
    </w:p>
    <w:p>
      <w:pPr>
        <w:ind w:left="580" w:right="540" w:hanging="329"/>
        <w:spacing w:after="0" w:line="281" w:lineRule="auto"/>
        <w:tabs>
          <w:tab w:leader="none" w:pos="575"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(loss) income decreased from the prior year period to a loss of $6.2 million, or $(0.07) per diluted share, compared to GAAP net income of $0.3 million, or $0.00 per diluted share for the prior year period.</w:t>
      </w:r>
    </w:p>
    <w:p>
      <w:pPr>
        <w:spacing w:after="0" w:line="1" w:lineRule="exact"/>
        <w:rPr>
          <w:rFonts w:ascii="Arial" w:cs="Arial" w:eastAsia="Arial" w:hAnsi="Arial"/>
          <w:sz w:val="18"/>
          <w:szCs w:val="18"/>
          <w:color w:val="auto"/>
        </w:rPr>
      </w:pPr>
    </w:p>
    <w:p>
      <w:pPr>
        <w:ind w:left="580" w:hanging="329"/>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decreased 7.4% year-over-year to $46.3 million. Adjusted EBITDA Margin decreased 320 bps year-over-year to</w:t>
      </w:r>
    </w:p>
    <w:p>
      <w:pPr>
        <w:spacing w:after="0" w:line="27" w:lineRule="exact"/>
        <w:rPr>
          <w:rFonts w:ascii="Arial" w:cs="Arial" w:eastAsia="Arial" w:hAnsi="Arial"/>
          <w:sz w:val="18"/>
          <w:szCs w:val="18"/>
          <w:color w:val="auto"/>
        </w:rPr>
      </w:pPr>
    </w:p>
    <w:p>
      <w:pPr>
        <w:jc w:val="both"/>
        <w:ind w:left="580" w:right="160"/>
        <w:spacing w:after="0" w:line="279" w:lineRule="auto"/>
        <w:rPr>
          <w:rFonts w:ascii="Arial" w:cs="Arial" w:eastAsia="Arial" w:hAnsi="Arial"/>
          <w:sz w:val="18"/>
          <w:szCs w:val="18"/>
          <w:color w:val="auto"/>
        </w:rPr>
      </w:pPr>
      <w:r>
        <w:rPr>
          <w:rFonts w:ascii="Arial" w:cs="Arial" w:eastAsia="Arial" w:hAnsi="Arial"/>
          <w:sz w:val="17"/>
          <w:szCs w:val="17"/>
          <w:color w:val="auto"/>
        </w:rPr>
        <w:t>23.1%, but expanded by 240 bps from the first quarter due to improved revenue trends combined with continued expense discipline. Year-over-year margin contraction was driven by increased volume from M&amp;A activity at lower margins and higher third-party vendor costs as a percentage of revenue due to organic revenue mix, partially offset by lower costs driven by our cost optimization efforts.</w:t>
      </w:r>
    </w:p>
    <w:p>
      <w:pPr>
        <w:spacing w:after="0" w:line="2" w:lineRule="exact"/>
        <w:rPr>
          <w:rFonts w:ascii="Arial" w:cs="Arial" w:eastAsia="Arial" w:hAnsi="Arial"/>
          <w:sz w:val="18"/>
          <w:szCs w:val="18"/>
          <w:color w:val="auto"/>
        </w:rPr>
      </w:pPr>
    </w:p>
    <w:p>
      <w:pPr>
        <w:ind w:left="580" w:right="20" w:hanging="329"/>
        <w:spacing w:after="0" w:line="287" w:lineRule="auto"/>
        <w:tabs>
          <w:tab w:leader="none" w:pos="575"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Net Income decreased 16.8% year-over-year to $21.8 million. Adjusted Earnings Per Share—diluted decreased 17.9% year-over-year to $0.23 per diluted share.</w:t>
      </w:r>
    </w:p>
    <w:p>
      <w:pPr>
        <w:spacing w:after="0" w:line="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Organic constant currency revenue growth (decline), Adjusted EBITDA, Adjusted EBITDA Margin, Adjusted Net Income, and Adjusted Earnings Per Share—diluted are non-GAAP measures. Please see the schedules accompanying this earnings release for a reconciliation of these measures to their most directly comparable GAAP measures, as applicable.</w:t>
      </w:r>
    </w:p>
    <w:p>
      <w:pPr>
        <w:spacing w:after="0" w:line="38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Josh Peirez, Sterling CEO, said, “The second quarter was another period of solid business momentum and encouraging financial results as we continued to execute on our 2024 plans and long -term strategy. During the quarter, we accelerated our revenue growth to 5% year-over-year, with particularly robust organic revenue growth from new business, up-sell / cross-sell, and client retention, alongside solid inorganic revenue growth. Our world-class product innovation and user experiences continue to resonate in the marketplace, and our go-to-market engine has sustained its strong momentum built on domain expertise, customer service, and technological excellence. While hiring trends remain challenging in an uncertain macro-economic environment, our Q2 base declines narrowed from Q1, and we expect further improvement over the course of the year. Moderated base declines should also help drive further expansion in our margins which improved significantly from the first quarter due to revenue growth and expense discipline. We are excited by the pending transaction with First Advantage, expected to close in Q4 2024, and we look forward to even greater innovation, client experiences, and shareholder value creation once the synergistic deal closes.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45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Second Quarter 2024 Results</w:t>
      </w:r>
    </w:p>
    <w:p>
      <w:pPr>
        <w:spacing w:after="0" w:line="221"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49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7"/>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data and percentages)</w:t>
            </w: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Change</w:t>
            </w:r>
          </w:p>
        </w:tc>
      </w:tr>
      <w:tr>
        <w:trPr>
          <w:trHeight w:val="224"/>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200,528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190,384</w:t>
            </w:r>
          </w:p>
        </w:tc>
        <w:tc>
          <w:tcPr>
            <w:tcW w:w="5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(6,232)</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323</w:t>
            </w:r>
          </w:p>
        </w:tc>
        <w:tc>
          <w:tcPr>
            <w:tcW w:w="5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margin</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5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 bps</w:t>
            </w:r>
          </w:p>
        </w:tc>
      </w:tr>
      <w:tr>
        <w:trPr>
          <w:trHeight w:val="229"/>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income per share—diluted</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0.00</w:t>
            </w:r>
          </w:p>
        </w:tc>
        <w:tc>
          <w:tcPr>
            <w:tcW w:w="5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49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46,284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49,997</w:t>
            </w:r>
          </w:p>
        </w:tc>
        <w:tc>
          <w:tcPr>
            <w:tcW w:w="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4900" w:type="dxa"/>
            <w:vAlign w:val="bottom"/>
          </w:tcPr>
          <w:p>
            <w:pPr>
              <w:ind w:left="20"/>
              <w:spacing w:after="0" w:line="230"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3"/>
                <w:szCs w:val="23"/>
                <w:color w:val="auto"/>
                <w:vertAlign w:val="superscript"/>
              </w:rPr>
              <w:t>(1)</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23.1 %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26.3 %  — %</w:t>
            </w:r>
          </w:p>
        </w:tc>
        <w:tc>
          <w:tcPr>
            <w:tcW w:w="1760" w:type="dxa"/>
            <w:vAlign w:val="bottom"/>
          </w:tcPr>
          <w:p>
            <w:pPr>
              <w:jc w:val="right"/>
              <w:spacing w:after="0"/>
              <w:rPr>
                <w:sz w:val="20"/>
                <w:szCs w:val="20"/>
                <w:color w:val="auto"/>
              </w:rPr>
            </w:pPr>
            <w:r>
              <w:rPr>
                <w:rFonts w:ascii="Arial" w:cs="Arial" w:eastAsia="Arial" w:hAnsi="Arial"/>
                <w:sz w:val="18"/>
                <w:szCs w:val="18"/>
                <w:color w:val="auto"/>
              </w:rPr>
              <w:t>(320) bps</w:t>
            </w:r>
          </w:p>
        </w:tc>
      </w:tr>
      <w:tr>
        <w:trPr>
          <w:trHeight w:val="230"/>
        </w:trPr>
        <w:tc>
          <w:tcPr>
            <w:tcW w:w="4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3"/>
                <w:szCs w:val="23"/>
                <w:color w:val="auto"/>
                <w:vertAlign w:val="superscript"/>
              </w:rPr>
              <w:t>(1)</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21,792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26,204</w:t>
            </w:r>
          </w:p>
        </w:tc>
        <w:tc>
          <w:tcPr>
            <w:tcW w:w="5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311"/>
        </w:trPr>
        <w:tc>
          <w:tcPr>
            <w:tcW w:w="4900" w:type="dxa"/>
            <w:vAlign w:val="bottom"/>
          </w:tcPr>
          <w:p>
            <w:pPr>
              <w:ind w:left="20"/>
              <w:spacing w:after="0"/>
              <w:rPr>
                <w:sz w:val="20"/>
                <w:szCs w:val="20"/>
                <w:color w:val="auto"/>
              </w:rPr>
            </w:pPr>
            <w:r>
              <w:rPr>
                <w:rFonts w:ascii="Arial" w:cs="Arial" w:eastAsia="Arial" w:hAnsi="Arial"/>
                <w:sz w:val="18"/>
                <w:szCs w:val="18"/>
                <w:color w:val="auto"/>
              </w:rPr>
              <w:t>Adjusted Earnings Per Share—diluted</w:t>
            </w:r>
            <w:r>
              <w:rPr>
                <w:rFonts w:ascii="Arial" w:cs="Arial" w:eastAsia="Arial" w:hAnsi="Arial"/>
                <w:sz w:val="23"/>
                <w:szCs w:val="23"/>
                <w:color w:val="auto"/>
                <w:vertAlign w:val="superscript"/>
              </w:rPr>
              <w:t>(1)</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0.28</w:t>
            </w:r>
          </w:p>
        </w:tc>
        <w:tc>
          <w:tcPr>
            <w:tcW w:w="5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(17.9)%</w:t>
            </w: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N/M—Not meaningful.</w:t>
      </w:r>
    </w:p>
    <w:p>
      <w:pPr>
        <w:spacing w:after="0" w:line="69" w:lineRule="exact"/>
        <w:rPr>
          <w:sz w:val="20"/>
          <w:szCs w:val="20"/>
          <w:color w:val="auto"/>
        </w:rPr>
      </w:pPr>
    </w:p>
    <w:p>
      <w:pPr>
        <w:ind w:left="340" w:right="560" w:hanging="332"/>
        <w:spacing w:after="0" w:line="305" w:lineRule="auto"/>
        <w:tabs>
          <w:tab w:leader="none" w:pos="327" w:val="left"/>
        </w:tabs>
        <w:numPr>
          <w:ilvl w:val="0"/>
          <w:numId w:val="3"/>
        </w:numPr>
        <w:rPr>
          <w:rFonts w:ascii="Arial" w:cs="Arial" w:eastAsia="Arial" w:hAnsi="Arial"/>
          <w:sz w:val="14"/>
          <w:szCs w:val="14"/>
          <w:color w:val="auto"/>
        </w:rPr>
      </w:pPr>
      <w:r>
        <w:rPr>
          <w:rFonts w:ascii="Arial" w:cs="Arial" w:eastAsia="Arial" w:hAnsi="Arial"/>
          <w:sz w:val="14"/>
          <w:szCs w:val="14"/>
          <w:color w:val="auto"/>
        </w:rPr>
        <w:t>Adjusted EBITDA, Adjusted EBITDA Margin, Adjusted Net Income, and Adjusted Earnings Per Share—diluted are non-GAAP measures. Please see the schedules accompanying this earnings release for a reconciliation of these measures to their most directly comparable GAAP measures.</w:t>
      </w:r>
    </w:p>
    <w:p>
      <w:pPr>
        <w:spacing w:after="0" w:line="1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Revenue for the second quarter of 2024 was $200.5 million, an increase of $10.1 million, or 5.3%, compared to $190.4 million for the second quarter of 2023. The revenue increase for the second quarter of 2024 included 6.2% inorganic revenue growth, partially offset by a 0.9% organic constant currency revenue decline. For the three months ended June 30, 2024, we have provided the impact of revenue from the acquisition of Vault Workforce Screening (“Vault”). For the three months ended June 30, 2023, we have provided the impact of revenue from the acquisition of Socrates Limited and its affiliates (“Socrates”) and A-Check Global (“A-Check”).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of June 30, 2024, cash and cash equivalents were $74.2 million and total debt was $ 555.5 million, compared to cash and cash equivalents of $ 54.2 million and total debt was $ 498.0 million as of December 31, 2023. The increase in cash was driven by our core operations, and the increase in debt reflects the revolving credit facility drawdown of $65.0 million for the acquisition of Vault. Sterling ended the second quarter of 2024 with a net leverage ratio of 2.8x net debt to Adjusted EBITDA. As of June 30, 2024, we had $555.5 million outstanding under our credit agreement, $129.5 million of capacity remaining under our revolving credit facility and $0.7 million outstanding letters of credit.</w:t>
      </w:r>
    </w:p>
    <w:p>
      <w:pPr>
        <w:spacing w:after="0" w:line="61"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Following the quarter end, we used available cash on hand to repay $20.0 million on the outstanding revolving credit facility. As of the date of this filing, the Company has $ 535.5 million outstanding under our credit agreement, $149.5 million of capacity remaining under our revolving credit facility, and $0.7 million outstanding letters of credit.</w:t>
      </w:r>
    </w:p>
    <w:p>
      <w:pPr>
        <w:spacing w:after="0" w:line="3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six months ended June 30, 2024, Sterling generated net cash provided by operations of $20.2 million, compared to $32.9 million for the prior year period. Capital expenditures for the six months ended June 30, 2024 totaled $11.3 million, compared to $9.2 million for the prior year period. For the six months ended June 30, 2024, Sterling had $8.8 million of Free Cash Flow, compared to $23.7 million of Free Cash Flow for the prior year period. The decrease in Free Cash Flow compared to the prior year period was primarily driven by lower operating income and higher cash taxes paid. The increase in Free Cash Flow in the second quarter of 2024 compared to the first quarter of 2024 was primarily driven by an increase in operating income and normalization in cash tax payments.</w:t>
      </w:r>
    </w:p>
    <w:p>
      <w:pPr>
        <w:spacing w:after="0" w:line="6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Free Cash Flow is a non-GAAP measure. Please see the schedule accompanying this earnings release for a reconciliation of Free Cash Flow to net cash provided by operations, its most directly comparable GAAP measure.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 February 28, 2024, the Company entered into a definitive agreement to combine with First Advantage Corporation, a Delaware corporation (“First Advantage”). In light of the pending merger with First Advantage, Sterling will not be hosting an earnings conference call to review its second quarter ended June 30,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This release contains forward-looking statements within the meaning of Section 27A of the Securities Act of 1933, as amended (the “Securities Act”), and Section 21E of the Securities Exchange Act of 1934, as amended (the “Exchange Act”), and it is intended that all forward-looking statements that we make will be subject to the safe</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147" w:right="339" w:bottom="1440" w:gutter="0" w:footer="0" w:header="0"/>
          <w:type w:val="continuous"/>
        </w:sectPr>
      </w:pPr>
    </w:p>
    <w:bookmarkStart w:id="5" w:name="page6"/>
    <w:bookmarkEnd w:id="5"/>
    <w:p>
      <w:pPr>
        <w:spacing w:after="0" w:line="251" w:lineRule="auto"/>
        <w:rPr>
          <w:sz w:val="20"/>
          <w:szCs w:val="20"/>
          <w:color w:val="auto"/>
        </w:rPr>
      </w:pPr>
      <w:r>
        <w:rPr>
          <w:rFonts w:ascii="Arial" w:cs="Arial" w:eastAsia="Arial" w:hAnsi="Arial"/>
          <w:sz w:val="18"/>
          <w:szCs w:val="18"/>
          <w:color w:val="auto"/>
        </w:rPr>
        <w:t>harbor protections created thereby. Forward-looking statements can be identified by forward-looking terminology such as “aim,” “anticipate,” “believe,” “continue,” “could,” “estimate,” “expect,” “intend,” “may,” “might,” “plan,” “potential,” “predict,” “projection,” “seek,” “should,” “will” or “would,” or the negative thereof or other variations thereon or comparable terminology. In particular, statements that address market trends or projections about the future, and statements regarding Sterling’s expectations, beliefs, plans, strategies, objectives, prospects or assumptions, or statements regarding future events or performance, including those related to our pending merger with First Advantage, contained in this release are forward-looking statements. Sterling has based these forward-looking statements on current expectations, assumptions, estimates and projections. Such forward-looking statements are only predictions and involve known and unknown risks and uncertainties, many of which are beyond Sterling’s control. Important factors relating to the proposed merger with First Advantage could also cause actual future events to differ materially from the forward-looking statements in this release, including but not limited to: (i) the risk that the proposed merger may not be completed in a timely manner or at all, (ii) the failure to satisfy the conditions to the consummation of the proposed merger, including the receipt of certain governmental and regulatory approvals and clearances, (iii) the occurrence of any event, change or other circumstance that could give rise to the termination of the Merger Agreement, (iv) the effect of the announcement or pendency of the proposed merger on Sterling’s business relationships, operating results, and business generally, (v) risks that the proposed merger disrupts current plans and operations of Sterling or First Advantage and creates potential difficulties in Sterling employee retention as a result of the proposed merger, (vi) risks related to diverting management’s attention from Sterling’s ongoing business operations, (vii) unexpected costs, charges or expenses resulting from the proposed merger, (viii) certain restrictions during the pendency of the proposed merger that may impact Sterling’s ability to pursue certain business opportunities or strategic transactions and (ix) the outcome of any legal proceedings that may be instituted against First Advantage or against Sterling related to the Merger Agreement or the proposed merger. These and other important factors, including those discussed more fully elsewhere in this release and in Sterling’s filings with the Securities and Exchange Commission, particularly Sterling’s most recently filed Annual Report on Form 10-K, may cause actual results, performance or achievements to differ materially from those expressed or implied by these forward-looking statements, or could affect Sterling’s share price. The forward-looking statements contained in this release are not guarantees of future performance and actual results of operations, financial condition, and liquidity, and the development of the industry in which Sterling operates, may differ materially from the forward-looking statements contained in this release. Any forward-looking statement made in this release speaks only as of the date of such statement. Except as required by law, Sterling does not undertake any obligation to update or revise, or to publicly announce any update or revision to, any of the forward-looking statements, whether as a result of new information, future events or otherwise, after the date of this release.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71"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This release contains “non-GAAP financial measures,” which are financial measures that are not calculated and presented in accordance with accounting principles generally accepted in the United States of America (“GAAP”).</w:t>
      </w:r>
    </w:p>
    <w:p>
      <w:pPr>
        <w:spacing w:after="0" w:line="3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Specifically, Sterling makes use of the non-GAAP financial measures “organic constant currency revenue growth (decline)”, “Adjusted EBITDA,” “Adjusted EBITDA Margin,” “Adjusted Net Income,” “Adjusted Earnings Per Share” and “Free Cash Flow” to assess the performance of its business.</w:t>
      </w:r>
    </w:p>
    <w:p>
      <w:pPr>
        <w:spacing w:after="0" w:line="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Organic constant currency revenue growth (decline) is calculated by adjusting for inorganic revenue growth (decline), which is defined as the impact to revenue growth (decline) in the current period from merger and acquisition (“M&amp;A”) activity that has occurred over the past twelve months, and converting the current period revenue at foreign currency exchange rates consistent with the prior period. For the three months ended June 30, 2024, we have provided the impact of revenue from the acquisition of Vault (acquired in January 2024) and for the six months ended June 30, 2024, we have provided the impact of revenue from the acquisitions of Vault as well as A-Check (acquired in March 2023). We present organic constant currency revenue growth (decline) because we believe it assists investors and analysts in comparing our operating performance across reporting periods on a consistent basis by excluding items that we do not believe are indicative of our core operating performance; however, it has limitations as an analytical tool, and you should not consider such a measure either in isolation or as a substitute for analyzing our results as reported under GAAP. In particular, organic constant currency revenue growth (decline) does not reflect M&amp;A activity or the impact of foreign currency exchange rate fluctuations.</w:t>
      </w:r>
    </w:p>
    <w:p>
      <w:pPr>
        <w:spacing w:after="0" w:line="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Adjusted EBITDA is defined as net income (loss) adjusted for provision (benefit) for income taxes, interest expense, depreciation and amortization, stock-based compensation, transaction expenses related to the IPO, one-time public company transition expenses and costs associated with financing transactions, M&amp;A activity, optimization and restructuring, technology transformation costs, foreign currency (gains) and losses and other costs affecting comparability. Adjusted EBITDA Margin is defined as Adjusted EBITDA divided by revenue for the applicable period. We present Adjusted EBITDA and Adjusted EBITDA Margin because we believe they assist investors and analysts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066" w:right="359" w:bottom="1440" w:gutter="0" w:footer="0" w:header="0"/>
        </w:sectPr>
      </w:pPr>
    </w:p>
    <w:bookmarkStart w:id="6" w:name="page7"/>
    <w:bookmarkEnd w:id="6"/>
    <w:p>
      <w:pPr>
        <w:ind w:right="40"/>
        <w:spacing w:after="0" w:line="272" w:lineRule="auto"/>
        <w:rPr>
          <w:sz w:val="20"/>
          <w:szCs w:val="20"/>
          <w:color w:val="auto"/>
        </w:rPr>
      </w:pPr>
      <w:r>
        <w:rPr>
          <w:rFonts w:ascii="Arial" w:cs="Arial" w:eastAsia="Arial" w:hAnsi="Arial"/>
          <w:sz w:val="17"/>
          <w:szCs w:val="17"/>
          <w:color w:val="auto"/>
        </w:rPr>
        <w:t>in comparing our operating performance across reporting periods on a consistent basis by excluding items that we do not believe are indicative of our core operating performance. Management and our board of directors use Adjusted EBITDA and Adjusted EBITDA Margin to evaluate the factors and trends affecting our business to assess our financial performance and in preparing and approving our annual budget and believe they are helpful in highlighting trends in our core operating performance. Further, our executive incentive compensation is based in part on components of Adjusted EBITDA. Adjusted EBITDA and Adjusted EBITDA Margin have limitations as analytical tools and should not be considered in isolation or as substitutes for our results as reported under GAAP. Adjusted EBITDA excludes items that can have a significant effect on our profit or loss and should, therefore, be considered only in conjunction with net income (loss) for the period. Because not all companies use identical calculations, these measures may not be comparable to other similarly titled measures of other companies.</w:t>
      </w:r>
    </w:p>
    <w:p>
      <w:pPr>
        <w:spacing w:after="0" w:line="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Adjusted Net Income is a non-GAAP profitability measure. Adjusted Net Income is defined as net income (loss) adjusted for amortization of acquired intangible assets, stock-based compensation, transaction expenses related to the IPO, one-time public company transition expenses and costs associated with financing transactions, M&amp;A activity, optimization and restructuring, technology transformation costs, and certain other costs affecting comparability, adjusted for the applicable tax rate. Adjusted Earnings Per Share is defined as Adjusted Net Income divided by diluted weighted average shares for the applicable period. We present Adjusted Net Income and Adjusted Earnings Per Share because we believe they assist investors and analysts in comparing our operating performance across reporting periods on a consistent basis by excluding certain material non-cash items and unusual items that we do not expect to continue at the same level in the future. Our management believes that the inclusion of supplementary adjustments to net income (loss) applied in presenting Adjusted Net Income provide additional information to investors about certain material non-cash items and about items that we do not expect to continue at the same level in the future. Adjusted Net Income and Adjusted Earnings Per Share have limitations as analytical tools, and you should not consider such measures either in isolation or as substitutes for analyzing our results as reported under GAAP.</w:t>
      </w:r>
    </w:p>
    <w:p>
      <w:pPr>
        <w:spacing w:after="0" w:line="6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Free Cash Flow is defined as Net Cash provided by (used in) Operating Activities minus purchases of property and equipment and purchases of intangible assets and capitalized software. We present Free Cash Flow because we believe it provides cash available for strategic measures, after making necessary capital investments in property and equipment to support ongoing business operations, and provides investors with the same measures that management uses as the basis for making resource allocation decisions. Free Cash Flow has limitations as an analytical tool, and you should not consider such measure either in isolation or as a substitute for analyzing our results as reported under GAAP.</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Sterling</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Sterling—a leading provider of background and identity services—offers background and identity verification to help over 50,000 clients create people-first cultures built on foundations of trust and safety. Sterling’s tech-enabled services help organizations across all industries establish great environments for their workers, partners, and customers. With operations around the world, Sterling conducted more than 103 million searches in the twelve months ended December 31, 2023.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Judah Sokel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IR@sterlingcheck.com</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Angela Stelle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Angela.Stelle@sterlingcheck.com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66"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CONSOLIDATED FINANCIAL STATEMENTS</w:t>
      </w: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STERLING CHECK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CONDENSED CONSOLIDATED STATEMENTS OF OPERATIONS AND COMPREHENSIVE (LOSS) INCOME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440" w:type="dxa"/>
            <w:vAlign w:val="bottom"/>
            <w:gridSpan w:val="4"/>
          </w:tcPr>
          <w:p>
            <w:pPr>
              <w:jc w:val="right"/>
              <w:ind w:right="659"/>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208"/>
        </w:trPr>
        <w:tc>
          <w:tcPr>
            <w:tcW w:w="53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r>
      <w:tr>
        <w:trPr>
          <w:trHeight w:val="218"/>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200,528</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190,384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386,527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369,658</w:t>
            </w:r>
          </w:p>
        </w:tc>
      </w:tr>
      <w:tr>
        <w:trPr>
          <w:trHeight w:val="215"/>
        </w:trPr>
        <w:tc>
          <w:tcPr>
            <w:tcW w:w="5360" w:type="dxa"/>
            <w:vAlign w:val="bottom"/>
          </w:tcPr>
          <w:p>
            <w:pPr>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5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Cost of revenues (exclusive of depreciation and amortization below)</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110,859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102,056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214,900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196,810</w:t>
            </w:r>
          </w:p>
        </w:tc>
      </w:tr>
      <w:tr>
        <w:trPr>
          <w:trHeight w:val="215"/>
        </w:trPr>
        <w:tc>
          <w:tcPr>
            <w:tcW w:w="5360" w:type="dxa"/>
            <w:vAlign w:val="bottom"/>
          </w:tcPr>
          <w:p>
            <w:pPr>
              <w:ind w:left="320"/>
              <w:spacing w:after="0"/>
              <w:rPr>
                <w:sz w:val="20"/>
                <w:szCs w:val="20"/>
                <w:color w:val="auto"/>
              </w:rPr>
            </w:pPr>
            <w:r>
              <w:rPr>
                <w:rFonts w:ascii="Arial" w:cs="Arial" w:eastAsia="Arial" w:hAnsi="Arial"/>
                <w:sz w:val="16"/>
                <w:szCs w:val="16"/>
                <w:color w:val="auto"/>
              </w:rPr>
              <w:t>Corporate technology and production systems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12,755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25,969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23,380</w:t>
            </w:r>
          </w:p>
        </w:tc>
      </w:tr>
      <w:tr>
        <w:trPr>
          <w:trHeight w:val="28"/>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5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50,379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44,910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110,269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92,361</w:t>
            </w:r>
          </w:p>
        </w:tc>
      </w:tr>
      <w:tr>
        <w:trPr>
          <w:trHeight w:val="215"/>
        </w:trPr>
        <w:tc>
          <w:tcPr>
            <w:tcW w:w="5360" w:type="dxa"/>
            <w:vAlign w:val="bottom"/>
          </w:tcPr>
          <w:p>
            <w:pPr>
              <w:ind w:left="3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15,820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16,120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31,590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31,242</w:t>
            </w:r>
          </w:p>
        </w:tc>
      </w:tr>
      <w:tr>
        <w:trPr>
          <w:trHeight w:val="28"/>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5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Impairments and disposals of long-lived assets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7,145</w:t>
            </w:r>
          </w:p>
        </w:tc>
      </w:tr>
      <w:tr>
        <w:trPr>
          <w:trHeight w:val="208"/>
        </w:trPr>
        <w:tc>
          <w:tcPr>
            <w:tcW w:w="5360" w:type="dxa"/>
            <w:vAlign w:val="bottom"/>
          </w:tcPr>
          <w:p>
            <w:pPr>
              <w:ind w:left="68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189,845</w:t>
            </w: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181,553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382,928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350,938</w:t>
            </w:r>
          </w:p>
        </w:tc>
      </w:tr>
      <w:tr>
        <w:trPr>
          <w:trHeight w:val="28"/>
        </w:trPr>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10,683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8,831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18,720</w:t>
            </w:r>
          </w:p>
        </w:tc>
      </w:tr>
      <w:tr>
        <w:trPr>
          <w:trHeight w:val="195"/>
        </w:trPr>
        <w:tc>
          <w:tcPr>
            <w:tcW w:w="5360" w:type="dxa"/>
            <w:vAlign w:val="bottom"/>
          </w:tcPr>
          <w:p>
            <w:pPr>
              <w:spacing w:after="0"/>
              <w:rPr>
                <w:sz w:val="20"/>
                <w:szCs w:val="20"/>
                <w:color w:val="auto"/>
              </w:rPr>
            </w:pPr>
            <w:r>
              <w:rPr>
                <w:rFonts w:ascii="Arial" w:cs="Arial" w:eastAsia="Arial" w:hAnsi="Arial"/>
                <w:sz w:val="16"/>
                <w:szCs w:val="16"/>
                <w:color w:val="auto"/>
              </w:rPr>
              <w:t>OTHER EXPENSE (INCOME):</w:t>
            </w: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28"/>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5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Interest expense, net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10,143</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8,990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20,455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17,598</w:t>
            </w:r>
          </w:p>
        </w:tc>
      </w:tr>
      <w:tr>
        <w:trPr>
          <w:trHeight w:val="215"/>
        </w:trPr>
        <w:tc>
          <w:tcPr>
            <w:tcW w:w="5360" w:type="dxa"/>
            <w:vAlign w:val="bottom"/>
          </w:tcPr>
          <w:p>
            <w:pPr>
              <w:ind w:left="320"/>
              <w:spacing w:after="0"/>
              <w:rPr>
                <w:sz w:val="20"/>
                <w:szCs w:val="20"/>
                <w:color w:val="auto"/>
              </w:rPr>
            </w:pPr>
            <w:r>
              <w:rPr>
                <w:rFonts w:ascii="Arial" w:cs="Arial" w:eastAsia="Arial" w:hAnsi="Arial"/>
                <w:sz w:val="16"/>
                <w:szCs w:val="16"/>
                <w:color w:val="auto"/>
              </w:rPr>
              <w:t>Other income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(809)</w:t>
            </w:r>
          </w:p>
        </w:tc>
      </w:tr>
      <w:tr>
        <w:trPr>
          <w:trHeight w:val="28"/>
        </w:trPr>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other expense, net</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9,821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8,593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19,710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16,789</w:t>
            </w:r>
          </w:p>
        </w:tc>
      </w:tr>
      <w:tr>
        <w:trPr>
          <w:trHeight w:val="208"/>
        </w:trPr>
        <w:tc>
          <w:tcPr>
            <w:tcW w:w="536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862</w:t>
            </w: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(16,111)</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1,931</w:t>
            </w:r>
          </w:p>
        </w:tc>
      </w:tr>
      <w:tr>
        <w:trPr>
          <w:trHeight w:val="28"/>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5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Income tax provision (benefit)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1,017</w:t>
            </w:r>
          </w:p>
        </w:tc>
      </w:tr>
      <w:tr>
        <w:trPr>
          <w:trHeight w:val="208"/>
        </w:trPr>
        <w:tc>
          <w:tcPr>
            <w:tcW w:w="5360" w:type="dxa"/>
            <w:vAlign w:val="bottom"/>
          </w:tcPr>
          <w:p>
            <w:pPr>
              <w:spacing w:after="0"/>
              <w:rPr>
                <w:sz w:val="20"/>
                <w:szCs w:val="20"/>
                <w:color w:val="auto"/>
              </w:rPr>
            </w:pPr>
            <w:r>
              <w:rPr>
                <w:rFonts w:ascii="Arial" w:cs="Arial" w:eastAsia="Arial" w:hAnsi="Arial"/>
                <w:sz w:val="16"/>
                <w:szCs w:val="16"/>
                <w:color w:val="auto"/>
              </w:rPr>
              <w:t>NET (LOSS) INCOME</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(6,232)</w:t>
            </w:r>
          </w:p>
        </w:tc>
        <w:tc>
          <w:tcPr>
            <w:tcW w:w="8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(14,187)</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914</w:t>
            </w:r>
          </w:p>
        </w:tc>
      </w:tr>
      <w:tr>
        <w:trPr>
          <w:trHeight w:val="28"/>
        </w:trPr>
        <w:tc>
          <w:tcPr>
            <w:tcW w:w="5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42"/>
        </w:trPr>
        <w:tc>
          <w:tcPr>
            <w:tcW w:w="5360" w:type="dxa"/>
            <w:vAlign w:val="bottom"/>
            <w:shd w:val="clear" w:color="auto" w:fill="CCEEFF"/>
          </w:tcPr>
          <w:p>
            <w:pPr>
              <w:ind w:left="320"/>
              <w:spacing w:after="0" w:line="142" w:lineRule="exact"/>
              <w:rPr>
                <w:sz w:val="20"/>
                <w:szCs w:val="20"/>
                <w:color w:val="auto"/>
              </w:rPr>
            </w:pPr>
            <w:r>
              <w:rPr>
                <w:rFonts w:ascii="Arial" w:cs="Arial" w:eastAsia="Arial" w:hAnsi="Arial"/>
                <w:sz w:val="16"/>
                <w:szCs w:val="16"/>
                <w:color w:val="auto"/>
              </w:rPr>
              <w:t>Unrealized gain (loss) on hedged transactions, net of tax expense</w:t>
            </w: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224"/>
        </w:trPr>
        <w:tc>
          <w:tcPr>
            <w:tcW w:w="5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(benefit) of $177, $(1,671), $1,218 and $144 respectively</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w:t>
            </w:r>
          </w:p>
        </w:tc>
      </w:tr>
      <w:tr>
        <w:trPr>
          <w:trHeight w:val="175"/>
        </w:trPr>
        <w:tc>
          <w:tcPr>
            <w:tcW w:w="5360" w:type="dxa"/>
            <w:vAlign w:val="bottom"/>
          </w:tcPr>
          <w:p>
            <w:pPr>
              <w:ind w:left="320"/>
              <w:spacing w:after="0" w:line="175" w:lineRule="exact"/>
              <w:rPr>
                <w:sz w:val="20"/>
                <w:szCs w:val="20"/>
                <w:color w:val="auto"/>
              </w:rPr>
            </w:pPr>
            <w:r>
              <w:rPr>
                <w:rFonts w:ascii="Arial" w:cs="Arial" w:eastAsia="Arial" w:hAnsi="Arial"/>
                <w:sz w:val="16"/>
                <w:szCs w:val="16"/>
                <w:color w:val="auto"/>
              </w:rPr>
              <w:t>Foreign currency translation adjustments, net of tax expense of $0,</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15"/>
        </w:trPr>
        <w:tc>
          <w:tcPr>
            <w:tcW w:w="5360" w:type="dxa"/>
            <w:vAlign w:val="bottom"/>
          </w:tcPr>
          <w:p>
            <w:pPr>
              <w:ind w:left="500"/>
              <w:spacing w:after="0"/>
              <w:rPr>
                <w:sz w:val="20"/>
                <w:szCs w:val="20"/>
                <w:color w:val="auto"/>
              </w:rPr>
            </w:pPr>
            <w:r>
              <w:rPr>
                <w:rFonts w:ascii="Arial" w:cs="Arial" w:eastAsia="Arial" w:hAnsi="Arial"/>
                <w:sz w:val="16"/>
                <w:szCs w:val="16"/>
                <w:color w:val="auto"/>
              </w:rPr>
              <w:t>$0, $0 and $0, respectively</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1,637</w:t>
            </w:r>
          </w:p>
        </w:tc>
      </w:tr>
      <w:tr>
        <w:trPr>
          <w:trHeight w:val="29"/>
        </w:trPr>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other comprehensive income</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5,706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1,229</w:t>
            </w:r>
          </w:p>
        </w:tc>
      </w:tr>
      <w:tr>
        <w:trPr>
          <w:trHeight w:val="208"/>
        </w:trPr>
        <w:tc>
          <w:tcPr>
            <w:tcW w:w="5360" w:type="dxa"/>
            <w:vAlign w:val="bottom"/>
          </w:tcPr>
          <w:p>
            <w:pPr>
              <w:spacing w:after="0"/>
              <w:rPr>
                <w:sz w:val="20"/>
                <w:szCs w:val="20"/>
                <w:color w:val="auto"/>
              </w:rPr>
            </w:pPr>
            <w:r>
              <w:rPr>
                <w:rFonts w:ascii="Arial" w:cs="Arial" w:eastAsia="Arial" w:hAnsi="Arial"/>
                <w:sz w:val="16"/>
                <w:szCs w:val="16"/>
                <w:color w:val="auto"/>
              </w:rPr>
              <w:t>COMPREHENSIVE (LOSS) INCOME</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(5,734)</w:t>
            </w:r>
          </w:p>
        </w:tc>
        <w:tc>
          <w:tcPr>
            <w:tcW w:w="8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6,029</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(12,920)</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2,143</w:t>
            </w:r>
          </w:p>
        </w:tc>
      </w:tr>
      <w:tr>
        <w:trPr>
          <w:trHeight w:val="28"/>
        </w:trPr>
        <w:tc>
          <w:tcPr>
            <w:tcW w:w="5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0"/>
        </w:trPr>
        <w:tc>
          <w:tcPr>
            <w:tcW w:w="536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Net (loss) income per share attributable to stockholders</w:t>
            </w: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r>
      <w:tr>
        <w:trPr>
          <w:trHeight w:val="215"/>
        </w:trPr>
        <w:tc>
          <w:tcPr>
            <w:tcW w:w="5360" w:type="dxa"/>
            <w:vAlign w:val="bottom"/>
          </w:tcPr>
          <w:p>
            <w:pPr>
              <w:ind w:left="68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(0.07)</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8"/>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5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15"/>
        </w:trPr>
        <w:tc>
          <w:tcPr>
            <w:tcW w:w="5360" w:type="dxa"/>
            <w:vAlign w:val="bottom"/>
          </w:tcPr>
          <w:p>
            <w:pPr>
              <w:spacing w:after="0"/>
              <w:rPr>
                <w:sz w:val="20"/>
                <w:szCs w:val="20"/>
                <w:color w:val="auto"/>
              </w:rPr>
            </w:pPr>
            <w:r>
              <w:rPr>
                <w:rFonts w:ascii="Arial" w:cs="Arial" w:eastAsia="Arial" w:hAnsi="Arial"/>
                <w:sz w:val="16"/>
                <w:szCs w:val="16"/>
                <w:color w:val="auto"/>
              </w:rPr>
              <w:t>Weighted average number of shares outstanding</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5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92,778,209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9"/>
              </w:rPr>
              <w:t>92,723,901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91,526,151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92,800,279</w:t>
            </w:r>
          </w:p>
        </w:tc>
      </w:tr>
      <w:tr>
        <w:trPr>
          <w:trHeight w:val="215"/>
        </w:trPr>
        <w:tc>
          <w:tcPr>
            <w:tcW w:w="5360" w:type="dxa"/>
            <w:vAlign w:val="bottom"/>
          </w:tcPr>
          <w:p>
            <w:pPr>
              <w:ind w:left="68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92,778,209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ind w:left="140"/>
              <w:spacing w:after="0"/>
              <w:rPr>
                <w:sz w:val="20"/>
                <w:szCs w:val="20"/>
                <w:color w:val="auto"/>
              </w:rPr>
            </w:pPr>
            <w:r>
              <w:rPr>
                <w:rFonts w:ascii="Arial" w:cs="Arial" w:eastAsia="Arial" w:hAnsi="Arial"/>
                <w:sz w:val="16"/>
                <w:szCs w:val="16"/>
                <w:color w:val="auto"/>
                <w:w w:val="99"/>
              </w:rPr>
              <w:t>94,498,666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91,526,151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94,924,080</w:t>
            </w:r>
          </w:p>
        </w:tc>
      </w:tr>
    </w:tbl>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80" w:top="782" w:right="47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STERLING CHECK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0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and par value amounts)</w:t>
            </w:r>
          </w:p>
        </w:tc>
        <w:tc>
          <w:tcPr>
            <w:tcW w:w="200" w:type="dxa"/>
            <w:vAlign w:val="bottom"/>
          </w:tcPr>
          <w:p>
            <w:pPr>
              <w:spacing w:after="0"/>
              <w:rPr>
                <w:sz w:val="17"/>
                <w:szCs w:val="17"/>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2024</w:t>
            </w:r>
          </w:p>
        </w:tc>
        <w:tc>
          <w:tcPr>
            <w:tcW w:w="120" w:type="dxa"/>
            <w:vAlign w:val="bottom"/>
          </w:tcPr>
          <w:p>
            <w:pPr>
              <w:spacing w:after="0"/>
              <w:rPr>
                <w:sz w:val="17"/>
                <w:szCs w:val="17"/>
                <w:color w:val="auto"/>
              </w:rPr>
            </w:pPr>
          </w:p>
        </w:tc>
        <w:tc>
          <w:tcPr>
            <w:tcW w:w="1440" w:type="dxa"/>
            <w:vAlign w:val="bottom"/>
          </w:tcPr>
          <w:p>
            <w:pPr>
              <w:jc w:val="right"/>
              <w:ind w:right="51"/>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238"/>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3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54,224</w:t>
            </w:r>
          </w:p>
        </w:tc>
        <w:tc>
          <w:tcPr>
            <w:tcW w:w="0" w:type="dxa"/>
            <w:vAlign w:val="bottom"/>
          </w:tcPr>
          <w:p>
            <w:pPr>
              <w:spacing w:after="0"/>
              <w:rPr>
                <w:sz w:val="1"/>
                <w:szCs w:val="1"/>
                <w:color w:val="auto"/>
              </w:rPr>
            </w:pPr>
          </w:p>
        </w:tc>
      </w:tr>
      <w:tr>
        <w:trPr>
          <w:trHeight w:val="211"/>
        </w:trPr>
        <w:tc>
          <w:tcPr>
            <w:tcW w:w="7300" w:type="dxa"/>
            <w:vAlign w:val="bottom"/>
          </w:tcPr>
          <w:p>
            <w:pPr>
              <w:ind w:left="320"/>
              <w:spacing w:after="0"/>
              <w:rPr>
                <w:sz w:val="20"/>
                <w:szCs w:val="20"/>
                <w:color w:val="auto"/>
              </w:rPr>
            </w:pPr>
            <w:r>
              <w:rPr>
                <w:rFonts w:ascii="Arial" w:cs="Arial" w:eastAsia="Arial" w:hAnsi="Arial"/>
                <w:sz w:val="18"/>
                <w:szCs w:val="18"/>
                <w:color w:val="auto"/>
              </w:rPr>
              <w:t>Accounts receivable (net of allowance for credit losses of $3,212 and $2,816 at</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300" w:type="dxa"/>
            <w:vAlign w:val="bottom"/>
          </w:tcPr>
          <w:p>
            <w:pPr>
              <w:ind w:left="500"/>
              <w:spacing w:after="0"/>
              <w:rPr>
                <w:sz w:val="20"/>
                <w:szCs w:val="20"/>
                <w:color w:val="auto"/>
              </w:rPr>
            </w:pPr>
            <w:r>
              <w:rPr>
                <w:rFonts w:ascii="Arial" w:cs="Arial" w:eastAsia="Arial" w:hAnsi="Arial"/>
                <w:sz w:val="18"/>
                <w:szCs w:val="18"/>
                <w:color w:val="auto"/>
              </w:rPr>
              <w:t>June 30, 2024 and December 31, 2023, respectively)</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172,050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142,179</w:t>
            </w:r>
          </w:p>
        </w:tc>
        <w:tc>
          <w:tcPr>
            <w:tcW w:w="0" w:type="dxa"/>
            <w:vAlign w:val="bottom"/>
          </w:tcPr>
          <w:p>
            <w:pPr>
              <w:spacing w:after="0"/>
              <w:rPr>
                <w:sz w:val="1"/>
                <w:szCs w:val="1"/>
                <w:color w:val="auto"/>
              </w:rPr>
            </w:pPr>
          </w:p>
        </w:tc>
      </w:tr>
      <w:tr>
        <w:trPr>
          <w:trHeight w:val="261"/>
        </w:trPr>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Insurance receivable</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r>
        <w:trPr>
          <w:trHeight w:val="252"/>
        </w:trPr>
        <w:tc>
          <w:tcPr>
            <w:tcW w:w="7300" w:type="dxa"/>
            <w:vAlign w:val="bottom"/>
          </w:tcPr>
          <w:p>
            <w:pPr>
              <w:ind w:left="32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9,651</w:t>
            </w:r>
          </w:p>
        </w:tc>
        <w:tc>
          <w:tcPr>
            <w:tcW w:w="0" w:type="dxa"/>
            <w:vAlign w:val="bottom"/>
          </w:tcPr>
          <w:p>
            <w:pPr>
              <w:spacing w:after="0"/>
              <w:rPr>
                <w:sz w:val="1"/>
                <w:szCs w:val="1"/>
                <w:color w:val="auto"/>
              </w:rPr>
            </w:pPr>
          </w:p>
        </w:tc>
      </w:tr>
      <w:tr>
        <w:trPr>
          <w:trHeight w:val="261"/>
        </w:trPr>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21,472</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15,800</w:t>
            </w:r>
          </w:p>
        </w:tc>
        <w:tc>
          <w:tcPr>
            <w:tcW w:w="0" w:type="dxa"/>
            <w:vAlign w:val="bottom"/>
          </w:tcPr>
          <w:p>
            <w:pPr>
              <w:spacing w:after="0"/>
              <w:rPr>
                <w:sz w:val="1"/>
                <w:szCs w:val="1"/>
                <w:color w:val="auto"/>
              </w:rPr>
            </w:pPr>
          </w:p>
        </w:tc>
      </w:tr>
      <w:tr>
        <w:trPr>
          <w:trHeight w:val="245"/>
        </w:trPr>
        <w:tc>
          <w:tcPr>
            <w:tcW w:w="730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279,277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224,791</w:t>
            </w:r>
          </w:p>
        </w:tc>
        <w:tc>
          <w:tcPr>
            <w:tcW w:w="0" w:type="dxa"/>
            <w:vAlign w:val="bottom"/>
          </w:tcPr>
          <w:p>
            <w:pPr>
              <w:spacing w:after="0"/>
              <w:rPr>
                <w:sz w:val="1"/>
                <w:szCs w:val="1"/>
                <w:color w:val="auto"/>
              </w:rPr>
            </w:pPr>
          </w:p>
        </w:tc>
      </w:tr>
      <w:tr>
        <w:trPr>
          <w:trHeight w:val="261"/>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7,695</w:t>
            </w:r>
          </w:p>
        </w:tc>
        <w:tc>
          <w:tcPr>
            <w:tcW w:w="0" w:type="dxa"/>
            <w:vAlign w:val="bottom"/>
          </w:tcPr>
          <w:p>
            <w:pPr>
              <w:spacing w:after="0"/>
              <w:rPr>
                <w:sz w:val="1"/>
                <w:szCs w:val="1"/>
                <w:color w:val="auto"/>
              </w:rPr>
            </w:pPr>
          </w:p>
        </w:tc>
      </w:tr>
      <w:tr>
        <w:trPr>
          <w:trHeight w:val="256"/>
        </w:trPr>
        <w:tc>
          <w:tcPr>
            <w:tcW w:w="730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902,564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879,408</w:t>
            </w:r>
          </w:p>
        </w:tc>
        <w:tc>
          <w:tcPr>
            <w:tcW w:w="0" w:type="dxa"/>
            <w:vAlign w:val="bottom"/>
          </w:tcPr>
          <w:p>
            <w:pPr>
              <w:spacing w:after="0"/>
              <w:rPr>
                <w:sz w:val="1"/>
                <w:szCs w:val="1"/>
                <w:color w:val="auto"/>
              </w:rPr>
            </w:pPr>
          </w:p>
        </w:tc>
      </w:tr>
      <w:tr>
        <w:trPr>
          <w:trHeight w:val="257"/>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255,049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230,212</w:t>
            </w:r>
          </w:p>
        </w:tc>
        <w:tc>
          <w:tcPr>
            <w:tcW w:w="0" w:type="dxa"/>
            <w:vAlign w:val="bottom"/>
          </w:tcPr>
          <w:p>
            <w:pPr>
              <w:spacing w:after="0"/>
              <w:rPr>
                <w:sz w:val="1"/>
                <w:szCs w:val="1"/>
                <w:color w:val="auto"/>
              </w:rPr>
            </w:pPr>
          </w:p>
        </w:tc>
      </w:tr>
      <w:tr>
        <w:trPr>
          <w:trHeight w:val="257"/>
        </w:trPr>
        <w:tc>
          <w:tcPr>
            <w:tcW w:w="730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4,818</w:t>
            </w:r>
          </w:p>
        </w:tc>
        <w:tc>
          <w:tcPr>
            <w:tcW w:w="0" w:type="dxa"/>
            <w:vAlign w:val="bottom"/>
          </w:tcPr>
          <w:p>
            <w:pPr>
              <w:spacing w:after="0"/>
              <w:rPr>
                <w:sz w:val="1"/>
                <w:szCs w:val="1"/>
                <w:color w:val="auto"/>
              </w:rPr>
            </w:pPr>
          </w:p>
        </w:tc>
      </w:tr>
      <w:tr>
        <w:trPr>
          <w:trHeight w:val="257"/>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 right-of-use asset</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0" w:type="dxa"/>
            <w:vAlign w:val="bottom"/>
          </w:tcPr>
          <w:p>
            <w:pPr>
              <w:spacing w:after="0"/>
              <w:rPr>
                <w:sz w:val="1"/>
                <w:szCs w:val="1"/>
                <w:color w:val="auto"/>
              </w:rPr>
            </w:pPr>
          </w:p>
        </w:tc>
      </w:tr>
      <w:tr>
        <w:trPr>
          <w:trHeight w:val="256"/>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 net</w:t>
            </w: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10,067</w:t>
            </w:r>
          </w:p>
        </w:tc>
        <w:tc>
          <w:tcPr>
            <w:tcW w:w="0" w:type="dxa"/>
            <w:vAlign w:val="bottom"/>
          </w:tcPr>
          <w:p>
            <w:pPr>
              <w:spacing w:after="0"/>
              <w:rPr>
                <w:sz w:val="1"/>
                <w:szCs w:val="1"/>
                <w:color w:val="auto"/>
              </w:rPr>
            </w:pPr>
          </w:p>
        </w:tc>
      </w:tr>
      <w:tr>
        <w:trPr>
          <w:trHeight w:val="27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1,463,239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1,363,443</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0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52,892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38,879</w:t>
            </w:r>
          </w:p>
        </w:tc>
        <w:tc>
          <w:tcPr>
            <w:tcW w:w="0" w:type="dxa"/>
            <w:vAlign w:val="bottom"/>
          </w:tcPr>
          <w:p>
            <w:pPr>
              <w:spacing w:after="0"/>
              <w:rPr>
                <w:sz w:val="1"/>
                <w:szCs w:val="1"/>
                <w:color w:val="auto"/>
              </w:rPr>
            </w:pPr>
          </w:p>
        </w:tc>
      </w:tr>
      <w:tr>
        <w:trPr>
          <w:trHeight w:val="257"/>
        </w:trPr>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Litigation settlement obligation</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0" w:type="dxa"/>
            <w:vAlign w:val="bottom"/>
          </w:tcPr>
          <w:p>
            <w:pPr>
              <w:spacing w:after="0"/>
              <w:rPr>
                <w:sz w:val="1"/>
                <w:szCs w:val="1"/>
                <w:color w:val="auto"/>
              </w:rPr>
            </w:pPr>
          </w:p>
        </w:tc>
      </w:tr>
      <w:tr>
        <w:trPr>
          <w:trHeight w:val="256"/>
        </w:trPr>
        <w:tc>
          <w:tcPr>
            <w:tcW w:w="730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79,100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63,987</w:t>
            </w:r>
          </w:p>
        </w:tc>
        <w:tc>
          <w:tcPr>
            <w:tcW w:w="0" w:type="dxa"/>
            <w:vAlign w:val="bottom"/>
          </w:tcPr>
          <w:p>
            <w:pPr>
              <w:spacing w:after="0"/>
              <w:rPr>
                <w:sz w:val="1"/>
                <w:szCs w:val="1"/>
                <w:color w:val="auto"/>
              </w:rPr>
            </w:pPr>
          </w:p>
        </w:tc>
      </w:tr>
      <w:tr>
        <w:trPr>
          <w:trHeight w:val="257"/>
        </w:trPr>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57"/>
        </w:trPr>
        <w:tc>
          <w:tcPr>
            <w:tcW w:w="7300" w:type="dxa"/>
            <w:vAlign w:val="bottom"/>
          </w:tcPr>
          <w:p>
            <w:pPr>
              <w:ind w:left="320"/>
              <w:spacing w:after="0"/>
              <w:rPr>
                <w:sz w:val="20"/>
                <w:szCs w:val="20"/>
                <w:color w:val="auto"/>
              </w:rPr>
            </w:pPr>
            <w:r>
              <w:rPr>
                <w:rFonts w:ascii="Arial" w:cs="Arial" w:eastAsia="Arial" w:hAnsi="Arial"/>
                <w:sz w:val="18"/>
                <w:szCs w:val="18"/>
                <w:color w:val="auto"/>
              </w:rPr>
              <w:t>Operating leases liability, current portion</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3,490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256"/>
        </w:trPr>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 payable, current portion</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r>
        <w:trPr>
          <w:trHeight w:val="257"/>
        </w:trPr>
        <w:tc>
          <w:tcPr>
            <w:tcW w:w="73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11,839</w:t>
            </w:r>
          </w:p>
        </w:tc>
        <w:tc>
          <w:tcPr>
            <w:tcW w:w="0" w:type="dxa"/>
            <w:vAlign w:val="bottom"/>
          </w:tcPr>
          <w:p>
            <w:pPr>
              <w:spacing w:after="0"/>
              <w:rPr>
                <w:sz w:val="1"/>
                <w:szCs w:val="1"/>
                <w:color w:val="auto"/>
              </w:rPr>
            </w:pPr>
          </w:p>
        </w:tc>
      </w:tr>
      <w:tr>
        <w:trPr>
          <w:trHeight w:val="250"/>
        </w:trPr>
        <w:tc>
          <w:tcPr>
            <w:tcW w:w="73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172,325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148,136</w:t>
            </w:r>
          </w:p>
        </w:tc>
        <w:tc>
          <w:tcPr>
            <w:tcW w:w="0" w:type="dxa"/>
            <w:vAlign w:val="bottom"/>
          </w:tcPr>
          <w:p>
            <w:pPr>
              <w:spacing w:after="0"/>
              <w:rPr>
                <w:sz w:val="1"/>
                <w:szCs w:val="1"/>
                <w:color w:val="auto"/>
              </w:rPr>
            </w:pPr>
          </w:p>
        </w:tc>
      </w:tr>
      <w:tr>
        <w:trPr>
          <w:trHeight w:val="256"/>
        </w:trPr>
        <w:tc>
          <w:tcPr>
            <w:tcW w:w="7300" w:type="dxa"/>
            <w:vAlign w:val="bottom"/>
          </w:tcPr>
          <w:p>
            <w:pPr>
              <w:ind w:left="20"/>
              <w:spacing w:after="0"/>
              <w:rPr>
                <w:sz w:val="20"/>
                <w:szCs w:val="20"/>
                <w:color w:val="auto"/>
              </w:rPr>
            </w:pPr>
            <w:r>
              <w:rPr>
                <w:rFonts w:ascii="Arial" w:cs="Arial" w:eastAsia="Arial" w:hAnsi="Arial"/>
                <w:sz w:val="18"/>
                <w:szCs w:val="18"/>
                <w:color w:val="auto"/>
              </w:rPr>
              <w:t>Long-term debt, net</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537,696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479,788</w:t>
            </w:r>
          </w:p>
        </w:tc>
        <w:tc>
          <w:tcPr>
            <w:tcW w:w="0" w:type="dxa"/>
            <w:vAlign w:val="bottom"/>
          </w:tcPr>
          <w:p>
            <w:pPr>
              <w:spacing w:after="0"/>
              <w:rPr>
                <w:sz w:val="1"/>
                <w:szCs w:val="1"/>
                <w:color w:val="auto"/>
              </w:rPr>
            </w:pPr>
          </w:p>
        </w:tc>
      </w:tr>
      <w:tr>
        <w:trPr>
          <w:trHeight w:val="257"/>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14,239</w:t>
            </w:r>
          </w:p>
        </w:tc>
        <w:tc>
          <w:tcPr>
            <w:tcW w:w="0" w:type="dxa"/>
            <w:vAlign w:val="bottom"/>
          </w:tcPr>
          <w:p>
            <w:pPr>
              <w:spacing w:after="0"/>
              <w:rPr>
                <w:sz w:val="1"/>
                <w:szCs w:val="1"/>
                <w:color w:val="auto"/>
              </w:rPr>
            </w:pPr>
          </w:p>
        </w:tc>
      </w:tr>
      <w:tr>
        <w:trPr>
          <w:trHeight w:val="256"/>
        </w:trPr>
        <w:tc>
          <w:tcPr>
            <w:tcW w:w="7300" w:type="dxa"/>
            <w:vAlign w:val="bottom"/>
          </w:tcPr>
          <w:p>
            <w:pPr>
              <w:ind w:left="20"/>
              <w:spacing w:after="0"/>
              <w:rPr>
                <w:sz w:val="20"/>
                <w:szCs w:val="20"/>
                <w:color w:val="auto"/>
              </w:rPr>
            </w:pPr>
            <w:r>
              <w:rPr>
                <w:rFonts w:ascii="Arial" w:cs="Arial" w:eastAsia="Arial" w:hAnsi="Arial"/>
                <w:sz w:val="18"/>
                <w:szCs w:val="18"/>
                <w:color w:val="auto"/>
              </w:rPr>
              <w:t>Long-term operating leases liability, net of current portion</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7,278</w:t>
            </w:r>
          </w:p>
        </w:tc>
        <w:tc>
          <w:tcPr>
            <w:tcW w:w="0" w:type="dxa"/>
            <w:vAlign w:val="bottom"/>
          </w:tcPr>
          <w:p>
            <w:pPr>
              <w:spacing w:after="0"/>
              <w:rPr>
                <w:sz w:val="1"/>
                <w:szCs w:val="1"/>
                <w:color w:val="auto"/>
              </w:rPr>
            </w:pPr>
          </w:p>
        </w:tc>
      </w:tr>
      <w:tr>
        <w:trPr>
          <w:trHeight w:val="257"/>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12,058</w:t>
            </w:r>
          </w:p>
        </w:tc>
        <w:tc>
          <w:tcPr>
            <w:tcW w:w="0" w:type="dxa"/>
            <w:vAlign w:val="bottom"/>
          </w:tcPr>
          <w:p>
            <w:pPr>
              <w:spacing w:after="0"/>
              <w:rPr>
                <w:sz w:val="1"/>
                <w:szCs w:val="1"/>
                <w:color w:val="auto"/>
              </w:rPr>
            </w:pPr>
          </w:p>
        </w:tc>
      </w:tr>
      <w:tr>
        <w:trPr>
          <w:trHeight w:val="245"/>
        </w:trPr>
        <w:tc>
          <w:tcPr>
            <w:tcW w:w="73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729,113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661,499</w:t>
            </w:r>
          </w:p>
        </w:tc>
        <w:tc>
          <w:tcPr>
            <w:tcW w:w="0" w:type="dxa"/>
            <w:vAlign w:val="bottom"/>
          </w:tcPr>
          <w:p>
            <w:pPr>
              <w:spacing w:after="0"/>
              <w:rPr>
                <w:sz w:val="1"/>
                <w:szCs w:val="1"/>
                <w:color w:val="auto"/>
              </w:rPr>
            </w:pPr>
          </w:p>
        </w:tc>
      </w:tr>
      <w:tr>
        <w:trPr>
          <w:trHeight w:val="241"/>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13)</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3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7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Preferred stock ($0.01 par value; 100,000,000 shares authorized; no shares issued or</w:t>
            </w:r>
          </w:p>
        </w:tc>
        <w:tc>
          <w:tcPr>
            <w:tcW w:w="200" w:type="dxa"/>
            <w:vAlign w:val="bottom"/>
            <w:shd w:val="clear" w:color="auto" w:fill="CCEEFF"/>
          </w:tcPr>
          <w:p>
            <w:pPr>
              <w:spacing w:after="0"/>
              <w:rPr>
                <w:sz w:val="16"/>
                <w:szCs w:val="16"/>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outstanding)</w:t>
            </w:r>
          </w:p>
        </w:tc>
        <w:tc>
          <w:tcPr>
            <w:tcW w:w="200" w:type="dxa"/>
            <w:vAlign w:val="bottom"/>
            <w:shd w:val="clear" w:color="auto" w:fill="CCEEFF"/>
          </w:tcPr>
          <w:p>
            <w:pPr>
              <w:spacing w:after="0"/>
              <w:rPr>
                <w:sz w:val="20"/>
                <w:szCs w:val="20"/>
                <w:color w:val="auto"/>
              </w:rPr>
            </w:pPr>
          </w:p>
        </w:tc>
        <w:tc>
          <w:tcPr>
            <w:tcW w:w="14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7300" w:type="dxa"/>
            <w:vAlign w:val="bottom"/>
          </w:tcPr>
          <w:p>
            <w:pPr>
              <w:ind w:left="320"/>
              <w:spacing w:after="0"/>
              <w:rPr>
                <w:sz w:val="20"/>
                <w:szCs w:val="20"/>
                <w:color w:val="auto"/>
              </w:rPr>
            </w:pPr>
            <w:r>
              <w:rPr>
                <w:rFonts w:ascii="Arial" w:cs="Arial" w:eastAsia="Arial" w:hAnsi="Arial"/>
                <w:sz w:val="16"/>
                <w:szCs w:val="16"/>
                <w:color w:val="auto"/>
              </w:rPr>
              <w:t>Common stock ($0.01 par value; 1,000,000,000 shares authorized; 105,429,219 shares issued</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00" w:type="dxa"/>
            <w:vAlign w:val="bottom"/>
          </w:tcPr>
          <w:p>
            <w:pPr>
              <w:ind w:left="500"/>
              <w:spacing w:after="0" w:line="175" w:lineRule="exact"/>
              <w:rPr>
                <w:sz w:val="20"/>
                <w:szCs w:val="20"/>
                <w:color w:val="auto"/>
              </w:rPr>
            </w:pPr>
            <w:r>
              <w:rPr>
                <w:rFonts w:ascii="Arial" w:cs="Arial" w:eastAsia="Arial" w:hAnsi="Arial"/>
                <w:sz w:val="16"/>
                <w:szCs w:val="16"/>
                <w:color w:val="auto"/>
              </w:rPr>
              <w:t>and 97,901,748 shares outstanding at June 30, 2024; 99,966,158 shares issued and</w:t>
            </w: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4"/>
        </w:trPr>
        <w:tc>
          <w:tcPr>
            <w:tcW w:w="7300" w:type="dxa"/>
            <w:vAlign w:val="bottom"/>
          </w:tcPr>
          <w:p>
            <w:pPr>
              <w:ind w:left="500"/>
              <w:spacing w:after="0"/>
              <w:rPr>
                <w:sz w:val="20"/>
                <w:szCs w:val="20"/>
                <w:color w:val="auto"/>
              </w:rPr>
            </w:pPr>
            <w:r>
              <w:rPr>
                <w:rFonts w:ascii="Arial" w:cs="Arial" w:eastAsia="Arial" w:hAnsi="Arial"/>
                <w:sz w:val="16"/>
                <w:szCs w:val="16"/>
                <w:color w:val="auto"/>
              </w:rPr>
              <w:t>93,194,403 shares outstanding at December 31, 2023)</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1,039,337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983,283</w:t>
            </w:r>
          </w:p>
        </w:tc>
        <w:tc>
          <w:tcPr>
            <w:tcW w:w="0" w:type="dxa"/>
            <w:vAlign w:val="bottom"/>
          </w:tcPr>
          <w:p>
            <w:pPr>
              <w:spacing w:after="0"/>
              <w:rPr>
                <w:sz w:val="1"/>
                <w:szCs w:val="1"/>
                <w:color w:val="auto"/>
              </w:rPr>
            </w:pPr>
          </w:p>
        </w:tc>
      </w:tr>
      <w:tr>
        <w:trPr>
          <w:trHeight w:val="188"/>
        </w:trPr>
        <w:tc>
          <w:tcPr>
            <w:tcW w:w="7300" w:type="dxa"/>
            <w:vAlign w:val="bottom"/>
          </w:tcPr>
          <w:p>
            <w:pPr>
              <w:ind w:left="320"/>
              <w:spacing w:after="0"/>
              <w:rPr>
                <w:sz w:val="20"/>
                <w:szCs w:val="20"/>
                <w:color w:val="auto"/>
              </w:rPr>
            </w:pPr>
            <w:r>
              <w:rPr>
                <w:rFonts w:ascii="Arial" w:cs="Arial" w:eastAsia="Arial" w:hAnsi="Arial"/>
                <w:sz w:val="16"/>
                <w:szCs w:val="16"/>
                <w:color w:val="auto"/>
              </w:rPr>
              <w:t>Common stock held in treasury (7,527,471 and 6,771,755 shares at June 30, 2024 and</w:t>
            </w:r>
          </w:p>
        </w:tc>
        <w:tc>
          <w:tcPr>
            <w:tcW w:w="20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(99,929)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(88,918)</w:t>
            </w:r>
          </w:p>
        </w:tc>
        <w:tc>
          <w:tcPr>
            <w:tcW w:w="0" w:type="dxa"/>
            <w:vAlign w:val="bottom"/>
          </w:tcPr>
          <w:p>
            <w:pPr>
              <w:spacing w:after="0"/>
              <w:rPr>
                <w:sz w:val="1"/>
                <w:szCs w:val="1"/>
                <w:color w:val="auto"/>
              </w:rPr>
            </w:pPr>
          </w:p>
        </w:tc>
      </w:tr>
      <w:tr>
        <w:trPr>
          <w:trHeight w:val="230"/>
        </w:trPr>
        <w:tc>
          <w:tcPr>
            <w:tcW w:w="7300" w:type="dxa"/>
            <w:vAlign w:val="bottom"/>
          </w:tcPr>
          <w:p>
            <w:pPr>
              <w:ind w:left="500"/>
              <w:spacing w:after="0"/>
              <w:rPr>
                <w:sz w:val="20"/>
                <w:szCs w:val="20"/>
                <w:color w:val="auto"/>
              </w:rPr>
            </w:pPr>
            <w:r>
              <w:rPr>
                <w:rFonts w:ascii="Arial" w:cs="Arial" w:eastAsia="Arial" w:hAnsi="Arial"/>
                <w:sz w:val="16"/>
                <w:szCs w:val="16"/>
                <w:color w:val="auto"/>
              </w:rPr>
              <w:t>December 31, 2023, respectively)</w:t>
            </w:r>
          </w:p>
        </w:tc>
        <w:tc>
          <w:tcPr>
            <w:tcW w:w="20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(200,751)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(186,564)</w:t>
            </w:r>
          </w:p>
        </w:tc>
        <w:tc>
          <w:tcPr>
            <w:tcW w:w="0" w:type="dxa"/>
            <w:vAlign w:val="bottom"/>
          </w:tcPr>
          <w:p>
            <w:pPr>
              <w:spacing w:after="0"/>
              <w:rPr>
                <w:sz w:val="1"/>
                <w:szCs w:val="1"/>
                <w:color w:val="auto"/>
              </w:rPr>
            </w:pPr>
          </w:p>
        </w:tc>
      </w:tr>
      <w:tr>
        <w:trPr>
          <w:trHeight w:val="256"/>
        </w:trPr>
        <w:tc>
          <w:tcPr>
            <w:tcW w:w="73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(5,955)</w:t>
            </w:r>
          </w:p>
        </w:tc>
        <w:tc>
          <w:tcPr>
            <w:tcW w:w="0" w:type="dxa"/>
            <w:vAlign w:val="bottom"/>
          </w:tcPr>
          <w:p>
            <w:pPr>
              <w:spacing w:after="0"/>
              <w:rPr>
                <w:sz w:val="1"/>
                <w:szCs w:val="1"/>
                <w:color w:val="auto"/>
              </w:rPr>
            </w:pPr>
          </w:p>
        </w:tc>
      </w:tr>
      <w:tr>
        <w:trPr>
          <w:trHeight w:val="250"/>
        </w:trPr>
        <w:tc>
          <w:tcPr>
            <w:tcW w:w="73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734,126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701,944</w:t>
            </w:r>
          </w:p>
        </w:tc>
        <w:tc>
          <w:tcPr>
            <w:tcW w:w="0" w:type="dxa"/>
            <w:vAlign w:val="bottom"/>
          </w:tcPr>
          <w:p>
            <w:pPr>
              <w:spacing w:after="0"/>
              <w:rPr>
                <w:sz w:val="1"/>
                <w:szCs w:val="1"/>
                <w:color w:val="auto"/>
              </w:rPr>
            </w:pPr>
          </w:p>
        </w:tc>
      </w:tr>
      <w:tr>
        <w:trPr>
          <w:trHeight w:val="244"/>
        </w:trPr>
        <w:tc>
          <w:tcPr>
            <w:tcW w:w="730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1,463,239</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1,363,443</w:t>
            </w:r>
          </w:p>
        </w:tc>
        <w:tc>
          <w:tcPr>
            <w:tcW w:w="0" w:type="dxa"/>
            <w:vAlign w:val="bottom"/>
          </w:tcPr>
          <w:p>
            <w:pPr>
              <w:spacing w:after="0"/>
              <w:rPr>
                <w:sz w:val="1"/>
                <w:szCs w:val="1"/>
                <w:color w:val="auto"/>
              </w:rPr>
            </w:pPr>
          </w:p>
        </w:tc>
      </w:tr>
      <w:tr>
        <w:trPr>
          <w:trHeight w:val="27"/>
        </w:trPr>
        <w:tc>
          <w:tcPr>
            <w:tcW w:w="7300" w:type="dxa"/>
            <w:vAlign w:val="bottom"/>
            <w:vMerge w:val="restart"/>
          </w:tcPr>
          <w:p>
            <w:pPr>
              <w:ind w:left="5200"/>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78"/>
        </w:trPr>
        <w:tc>
          <w:tcPr>
            <w:tcW w:w="7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782" w:right="69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STERLING CHECK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3"/>
          </w:tcPr>
          <w:p>
            <w:pPr>
              <w:jc w:val="center"/>
              <w:ind w:left="539"/>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Pr>
          <w:p>
            <w:pPr>
              <w:spacing w:after="0"/>
              <w:rPr>
                <w:sz w:val="14"/>
                <w:szCs w:val="14"/>
                <w:color w:val="auto"/>
              </w:rPr>
            </w:pPr>
          </w:p>
        </w:tc>
      </w:tr>
      <w:tr>
        <w:trPr>
          <w:trHeight w:val="185"/>
        </w:trPr>
        <w:tc>
          <w:tcPr>
            <w:tcW w:w="7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4"/>
                <w:szCs w:val="14"/>
                <w:b w:val="1"/>
                <w:bCs w:val="1"/>
                <w:color w:val="auto"/>
                <w:w w:val="99"/>
              </w:rPr>
              <w:t>June 30,</w:t>
            </w:r>
          </w:p>
        </w:tc>
        <w:tc>
          <w:tcPr>
            <w:tcW w:w="980" w:type="dxa"/>
            <w:vAlign w:val="bottom"/>
            <w:tcBorders>
              <w:bottom w:val="single" w:sz="8" w:color="auto"/>
            </w:tcBorders>
          </w:tcPr>
          <w:p>
            <w:pPr>
              <w:spacing w:after="0"/>
              <w:rPr>
                <w:sz w:val="16"/>
                <w:szCs w:val="16"/>
                <w:color w:val="auto"/>
              </w:rPr>
            </w:pPr>
          </w:p>
        </w:tc>
      </w:tr>
      <w:tr>
        <w:trPr>
          <w:trHeight w:val="208"/>
        </w:trPr>
        <w:tc>
          <w:tcPr>
            <w:tcW w:w="7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ind w:right="539"/>
              <w:spacing w:after="0"/>
              <w:rPr>
                <w:sz w:val="20"/>
                <w:szCs w:val="20"/>
                <w:color w:val="auto"/>
              </w:rPr>
            </w:pPr>
            <w:r>
              <w:rPr>
                <w:rFonts w:ascii="Arial" w:cs="Arial" w:eastAsia="Arial" w:hAnsi="Arial"/>
                <w:sz w:val="14"/>
                <w:szCs w:val="14"/>
                <w:b w:val="1"/>
                <w:bCs w:val="1"/>
                <w:color w:val="auto"/>
              </w:rPr>
              <w:t>2023</w:t>
            </w:r>
          </w:p>
        </w:tc>
      </w:tr>
      <w:tr>
        <w:trPr>
          <w:trHeight w:val="224"/>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15"/>
        </w:trPr>
        <w:tc>
          <w:tcPr>
            <w:tcW w:w="766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(14,187)</w:t>
            </w:r>
          </w:p>
        </w:tc>
        <w:tc>
          <w:tcPr>
            <w:tcW w:w="20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914</w:t>
            </w:r>
          </w:p>
        </w:tc>
      </w:tr>
      <w:tr>
        <w:trPr>
          <w:trHeight w:val="28"/>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7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Adjustments to reconcile net (loss) income to net cash provided by operations</w:t>
            </w: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15"/>
        </w:trPr>
        <w:tc>
          <w:tcPr>
            <w:tcW w:w="7660" w:type="dxa"/>
            <w:vAlign w:val="bottom"/>
          </w:tcPr>
          <w:p>
            <w:pPr>
              <w:ind w:left="32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31,590</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31,242</w:t>
            </w:r>
          </w:p>
        </w:tc>
      </w:tr>
      <w:tr>
        <w:trPr>
          <w:trHeight w:val="28"/>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7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Deferred income taxes</w:t>
            </w: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(9,488)</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15"/>
        </w:trPr>
        <w:tc>
          <w:tcPr>
            <w:tcW w:w="7660" w:type="dxa"/>
            <w:vAlign w:val="bottom"/>
          </w:tcPr>
          <w:p>
            <w:pPr>
              <w:ind w:left="320"/>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21,045</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17,401</w:t>
            </w:r>
          </w:p>
        </w:tc>
      </w:tr>
      <w:tr>
        <w:trPr>
          <w:trHeight w:val="28"/>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7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Impairments and disposals of long-lived assets</w:t>
            </w: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7,145</w:t>
            </w:r>
          </w:p>
        </w:tc>
      </w:tr>
      <w:tr>
        <w:trPr>
          <w:trHeight w:val="215"/>
        </w:trPr>
        <w:tc>
          <w:tcPr>
            <w:tcW w:w="7660" w:type="dxa"/>
            <w:vAlign w:val="bottom"/>
          </w:tcPr>
          <w:p>
            <w:pPr>
              <w:ind w:left="320"/>
              <w:spacing w:after="0"/>
              <w:rPr>
                <w:sz w:val="20"/>
                <w:szCs w:val="20"/>
                <w:color w:val="auto"/>
              </w:rPr>
            </w:pPr>
            <w:r>
              <w:rPr>
                <w:rFonts w:ascii="Arial" w:cs="Arial" w:eastAsia="Arial" w:hAnsi="Arial"/>
                <w:sz w:val="16"/>
                <w:szCs w:val="16"/>
                <w:color w:val="auto"/>
              </w:rPr>
              <w:t>Provision for bad debts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1,212</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459</w:t>
            </w:r>
          </w:p>
        </w:tc>
      </w:tr>
      <w:tr>
        <w:trPr>
          <w:trHeight w:val="28"/>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7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Amortization of financing fees</w:t>
            </w: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w:t>
            </w:r>
          </w:p>
        </w:tc>
      </w:tr>
      <w:tr>
        <w:trPr>
          <w:trHeight w:val="215"/>
        </w:trPr>
        <w:tc>
          <w:tcPr>
            <w:tcW w:w="7660" w:type="dxa"/>
            <w:vAlign w:val="bottom"/>
          </w:tcPr>
          <w:p>
            <w:pPr>
              <w:ind w:left="320"/>
              <w:spacing w:after="0"/>
              <w:rPr>
                <w:sz w:val="20"/>
                <w:szCs w:val="20"/>
                <w:color w:val="auto"/>
              </w:rPr>
            </w:pPr>
            <w:r>
              <w:rPr>
                <w:rFonts w:ascii="Arial" w:cs="Arial" w:eastAsia="Arial" w:hAnsi="Arial"/>
                <w:sz w:val="16"/>
                <w:szCs w:val="16"/>
                <w:color w:val="auto"/>
              </w:rPr>
              <w:t>Amortization of debt discount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408</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392</w:t>
            </w:r>
          </w:p>
        </w:tc>
      </w:tr>
      <w:tr>
        <w:trPr>
          <w:trHeight w:val="28"/>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7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Deferred rent</w:t>
            </w: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(862)</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1,023</w:t>
            </w:r>
          </w:p>
        </w:tc>
      </w:tr>
      <w:tr>
        <w:trPr>
          <w:trHeight w:val="215"/>
        </w:trPr>
        <w:tc>
          <w:tcPr>
            <w:tcW w:w="7660" w:type="dxa"/>
            <w:vAlign w:val="bottom"/>
          </w:tcPr>
          <w:p>
            <w:pPr>
              <w:ind w:left="320"/>
              <w:spacing w:after="0"/>
              <w:rPr>
                <w:sz w:val="20"/>
                <w:szCs w:val="20"/>
                <w:color w:val="auto"/>
              </w:rPr>
            </w:pPr>
            <w:r>
              <w:rPr>
                <w:rFonts w:ascii="Arial" w:cs="Arial" w:eastAsia="Arial" w:hAnsi="Arial"/>
                <w:sz w:val="16"/>
                <w:szCs w:val="16"/>
                <w:color w:val="auto"/>
              </w:rPr>
              <w:t>Unrealized translation loss on investment in foreign subsidiaries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8"/>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7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Change in fair value of contingent consideration, net</w:t>
            </w: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1,290</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660" w:type="dxa"/>
            <w:vAlign w:val="bottom"/>
          </w:tcPr>
          <w:p>
            <w:pPr>
              <w:ind w:left="320"/>
              <w:spacing w:after="0"/>
              <w:rPr>
                <w:sz w:val="20"/>
                <w:szCs w:val="20"/>
                <w:color w:val="auto"/>
              </w:rPr>
            </w:pPr>
            <w:r>
              <w:rPr>
                <w:rFonts w:ascii="Arial" w:cs="Arial" w:eastAsia="Arial" w:hAnsi="Arial"/>
                <w:sz w:val="16"/>
                <w:szCs w:val="16"/>
                <w:color w:val="auto"/>
              </w:rPr>
              <w:t>Interest rate swap settlements</w:t>
            </w:r>
          </w:p>
        </w:tc>
        <w:tc>
          <w:tcPr>
            <w:tcW w:w="3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585</w:t>
            </w:r>
          </w:p>
        </w:tc>
      </w:tr>
      <w:tr>
        <w:trPr>
          <w:trHeight w:val="28"/>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7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Changes in operating assets and liabilities, net of acquisitions</w:t>
            </w: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15"/>
        </w:trPr>
        <w:tc>
          <w:tcPr>
            <w:tcW w:w="7660" w:type="dxa"/>
            <w:vAlign w:val="bottom"/>
          </w:tcPr>
          <w:p>
            <w:pPr>
              <w:ind w:left="68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(22,857)</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(7,399)</w:t>
            </w:r>
          </w:p>
        </w:tc>
      </w:tr>
      <w:tr>
        <w:trPr>
          <w:trHeight w:val="28"/>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76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Insurance receivable</w:t>
            </w: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r>
      <w:tr>
        <w:trPr>
          <w:trHeight w:val="215"/>
        </w:trPr>
        <w:tc>
          <w:tcPr>
            <w:tcW w:w="7660" w:type="dxa"/>
            <w:vAlign w:val="bottom"/>
          </w:tcPr>
          <w:p>
            <w:pPr>
              <w:ind w:left="680"/>
              <w:spacing w:after="0"/>
              <w:rPr>
                <w:sz w:val="20"/>
                <w:szCs w:val="20"/>
                <w:color w:val="auto"/>
              </w:rPr>
            </w:pPr>
            <w:r>
              <w:rPr>
                <w:rFonts w:ascii="Arial" w:cs="Arial" w:eastAsia="Arial" w:hAnsi="Arial"/>
                <w:sz w:val="16"/>
                <w:szCs w:val="16"/>
                <w:color w:val="auto"/>
              </w:rPr>
              <w:t>Prepaid expenses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1,419</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2,251</w:t>
            </w:r>
          </w:p>
        </w:tc>
      </w:tr>
      <w:tr>
        <w:trPr>
          <w:trHeight w:val="28"/>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76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(5,375)</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(8,650)</w:t>
            </w:r>
          </w:p>
        </w:tc>
      </w:tr>
      <w:tr>
        <w:trPr>
          <w:trHeight w:val="215"/>
        </w:trPr>
        <w:tc>
          <w:tcPr>
            <w:tcW w:w="7660" w:type="dxa"/>
            <w:vAlign w:val="bottom"/>
          </w:tcPr>
          <w:p>
            <w:pPr>
              <w:ind w:left="680"/>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12,530</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1,314</w:t>
            </w:r>
          </w:p>
        </w:tc>
      </w:tr>
      <w:tr>
        <w:trPr>
          <w:trHeight w:val="28"/>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76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Litigation settlement obligation</w:t>
            </w: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1,848</w:t>
            </w:r>
          </w:p>
        </w:tc>
      </w:tr>
      <w:tr>
        <w:trPr>
          <w:trHeight w:val="215"/>
        </w:trPr>
        <w:tc>
          <w:tcPr>
            <w:tcW w:w="7660" w:type="dxa"/>
            <w:vAlign w:val="bottom"/>
          </w:tcPr>
          <w:p>
            <w:pPr>
              <w:ind w:left="680"/>
              <w:spacing w:after="0"/>
              <w:rPr>
                <w:sz w:val="20"/>
                <w:szCs w:val="20"/>
                <w:color w:val="auto"/>
              </w:rPr>
            </w:pPr>
            <w:r>
              <w:rPr>
                <w:rFonts w:ascii="Arial" w:cs="Arial" w:eastAsia="Arial" w:hAnsi="Arial"/>
                <w:sz w:val="16"/>
                <w:szCs w:val="16"/>
                <w:color w:val="auto"/>
              </w:rPr>
              <w:t>Accrued expenses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12,296</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(10,515)</w:t>
            </w:r>
          </w:p>
        </w:tc>
      </w:tr>
      <w:tr>
        <w:trPr>
          <w:trHeight w:val="28"/>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76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(10,584)</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(3,447)</w:t>
            </w:r>
          </w:p>
        </w:tc>
      </w:tr>
      <w:tr>
        <w:trPr>
          <w:trHeight w:val="208"/>
        </w:trPr>
        <w:tc>
          <w:tcPr>
            <w:tcW w:w="7660" w:type="dxa"/>
            <w:vAlign w:val="bottom"/>
          </w:tcPr>
          <w:p>
            <w:pPr>
              <w:ind w:left="1040"/>
              <w:spacing w:after="0"/>
              <w:rPr>
                <w:sz w:val="20"/>
                <w:szCs w:val="20"/>
                <w:color w:val="auto"/>
              </w:rPr>
            </w:pPr>
            <w:r>
              <w:rPr>
                <w:rFonts w:ascii="Arial" w:cs="Arial" w:eastAsia="Arial" w:hAnsi="Arial"/>
                <w:sz w:val="16"/>
                <w:szCs w:val="16"/>
                <w:color w:val="auto"/>
              </w:rPr>
              <w:t>Net cash provided by operations</w:t>
            </w: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20,167</w:t>
            </w:r>
          </w:p>
        </w:tc>
        <w:tc>
          <w:tcPr>
            <w:tcW w:w="2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32,898</w:t>
            </w:r>
          </w:p>
        </w:tc>
      </w:tr>
      <w:tr>
        <w:trPr>
          <w:trHeight w:val="28"/>
        </w:trPr>
        <w:tc>
          <w:tcPr>
            <w:tcW w:w="7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3"/>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r>
      <w:tr>
        <w:trPr>
          <w:trHeight w:val="215"/>
        </w:trPr>
        <w:tc>
          <w:tcPr>
            <w:tcW w:w="7660" w:type="dxa"/>
            <w:vAlign w:val="bottom"/>
          </w:tcPr>
          <w:p>
            <w:pPr>
              <w:ind w:left="32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(993)</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(593)</w:t>
            </w:r>
          </w:p>
        </w:tc>
      </w:tr>
      <w:tr>
        <w:trPr>
          <w:trHeight w:val="28"/>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7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Purchases of intangible assets and capitalized software</w:t>
            </w: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(10,355)</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(8,589)</w:t>
            </w:r>
          </w:p>
        </w:tc>
      </w:tr>
      <w:tr>
        <w:trPr>
          <w:trHeight w:val="215"/>
        </w:trPr>
        <w:tc>
          <w:tcPr>
            <w:tcW w:w="7660" w:type="dxa"/>
            <w:vAlign w:val="bottom"/>
          </w:tcPr>
          <w:p>
            <w:pPr>
              <w:ind w:left="320"/>
              <w:spacing w:after="0"/>
              <w:rPr>
                <w:sz w:val="20"/>
                <w:szCs w:val="20"/>
                <w:color w:val="auto"/>
              </w:rPr>
            </w:pPr>
            <w:r>
              <w:rPr>
                <w:rFonts w:ascii="Arial" w:cs="Arial" w:eastAsia="Arial" w:hAnsi="Arial"/>
                <w:sz w:val="16"/>
                <w:szCs w:val="16"/>
                <w:color w:val="auto"/>
              </w:rPr>
              <w:t>Acquisitions, net of cash acquired</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(70,437)</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(48,641)</w:t>
            </w:r>
          </w:p>
        </w:tc>
      </w:tr>
      <w:tr>
        <w:trPr>
          <w:trHeight w:val="28"/>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7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disposition of property and equipment</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35"/>
        </w:trPr>
        <w:tc>
          <w:tcPr>
            <w:tcW w:w="7660" w:type="dxa"/>
            <w:vAlign w:val="bottom"/>
            <w:tcBorders>
              <w:bottom w:val="single" w:sz="8" w:color="CCEEFF"/>
            </w:tcBorders>
          </w:tcPr>
          <w:p>
            <w:pPr>
              <w:ind w:left="104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(81,782)</w:t>
            </w:r>
          </w:p>
        </w:tc>
        <w:tc>
          <w:tcPr>
            <w:tcW w:w="2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(57,698)</w:t>
            </w:r>
          </w:p>
        </w:tc>
      </w:tr>
      <w:tr>
        <w:trPr>
          <w:trHeight w:val="204"/>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r>
      <w:tr>
        <w:trPr>
          <w:trHeight w:val="242"/>
        </w:trPr>
        <w:tc>
          <w:tcPr>
            <w:tcW w:w="7660" w:type="dxa"/>
            <w:vAlign w:val="bottom"/>
          </w:tcPr>
          <w:p>
            <w:pPr>
              <w:ind w:left="320"/>
              <w:spacing w:after="0"/>
              <w:rPr>
                <w:sz w:val="20"/>
                <w:szCs w:val="20"/>
                <w:color w:val="auto"/>
              </w:rPr>
            </w:pPr>
            <w:r>
              <w:rPr>
                <w:rFonts w:ascii="Arial" w:cs="Arial" w:eastAsia="Arial" w:hAnsi="Arial"/>
                <w:sz w:val="16"/>
                <w:szCs w:val="16"/>
                <w:color w:val="auto"/>
              </w:rPr>
              <w:t>Issuance of common stock</w:t>
            </w:r>
          </w:p>
        </w:tc>
        <w:tc>
          <w:tcPr>
            <w:tcW w:w="36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611</w:t>
            </w:r>
          </w:p>
        </w:tc>
      </w:tr>
      <w:tr>
        <w:trPr>
          <w:trHeight w:val="244"/>
        </w:trPr>
        <w:tc>
          <w:tcPr>
            <w:tcW w:w="7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exercise of employee stock options</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42,555</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660" w:type="dxa"/>
            <w:vAlign w:val="bottom"/>
          </w:tcPr>
          <w:p>
            <w:pPr>
              <w:ind w:left="320"/>
              <w:spacing w:after="0"/>
              <w:rPr>
                <w:sz w:val="20"/>
                <w:szCs w:val="20"/>
                <w:color w:val="auto"/>
              </w:rPr>
            </w:pPr>
            <w:r>
              <w:rPr>
                <w:rFonts w:ascii="Arial" w:cs="Arial" w:eastAsia="Arial" w:hAnsi="Arial"/>
                <w:sz w:val="16"/>
                <w:szCs w:val="16"/>
                <w:color w:val="auto"/>
              </w:rPr>
              <w:t>Cash paid for tax withholding on exercise of employee stock options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(7,676)</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7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Proceeds from employee stock purchase plan</w:t>
            </w: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660" w:type="dxa"/>
            <w:vAlign w:val="bottom"/>
          </w:tcPr>
          <w:p>
            <w:pPr>
              <w:ind w:left="320"/>
              <w:spacing w:after="0"/>
              <w:rPr>
                <w:sz w:val="20"/>
                <w:szCs w:val="20"/>
                <w:color w:val="auto"/>
              </w:rPr>
            </w:pPr>
            <w:r>
              <w:rPr>
                <w:rFonts w:ascii="Arial" w:cs="Arial" w:eastAsia="Arial" w:hAnsi="Arial"/>
                <w:sz w:val="16"/>
                <w:szCs w:val="16"/>
                <w:color w:val="auto"/>
              </w:rPr>
              <w:t>Repurchases of common stock</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(6,832)</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(25,342)</w:t>
            </w:r>
          </w:p>
        </w:tc>
      </w:tr>
      <w:tr>
        <w:trPr>
          <w:trHeight w:val="28"/>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7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Cash paid for tax withholding on vesting of restricted shares</w:t>
            </w: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(4,179)</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(572)</w:t>
            </w:r>
          </w:p>
        </w:tc>
      </w:tr>
      <w:tr>
        <w:trPr>
          <w:trHeight w:val="215"/>
        </w:trPr>
        <w:tc>
          <w:tcPr>
            <w:tcW w:w="7660" w:type="dxa"/>
            <w:vAlign w:val="bottom"/>
          </w:tcPr>
          <w:p>
            <w:pPr>
              <w:ind w:left="320"/>
              <w:spacing w:after="0"/>
              <w:rPr>
                <w:sz w:val="20"/>
                <w:szCs w:val="20"/>
                <w:color w:val="auto"/>
              </w:rPr>
            </w:pPr>
            <w:r>
              <w:rPr>
                <w:rFonts w:ascii="Arial" w:cs="Arial" w:eastAsia="Arial" w:hAnsi="Arial"/>
                <w:sz w:val="16"/>
                <w:szCs w:val="16"/>
                <w:color w:val="auto"/>
              </w:rPr>
              <w:t>Payments of long-term debt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(7,500)</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(3,750)</w:t>
            </w:r>
          </w:p>
        </w:tc>
      </w:tr>
      <w:tr>
        <w:trPr>
          <w:trHeight w:val="28"/>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7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Borrowings on revolving credit facility</w:t>
            </w: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660" w:type="dxa"/>
            <w:vAlign w:val="bottom"/>
          </w:tcPr>
          <w:p>
            <w:pPr>
              <w:ind w:left="320"/>
              <w:spacing w:after="0"/>
              <w:rPr>
                <w:sz w:val="20"/>
                <w:szCs w:val="20"/>
                <w:color w:val="auto"/>
              </w:rPr>
            </w:pPr>
            <w:r>
              <w:rPr>
                <w:rFonts w:ascii="Arial" w:cs="Arial" w:eastAsia="Arial" w:hAnsi="Arial"/>
                <w:sz w:val="16"/>
                <w:szCs w:val="16"/>
                <w:color w:val="auto"/>
              </w:rPr>
              <w:t>Payment of contingent consideration for acquisition</w:t>
            </w:r>
          </w:p>
        </w:tc>
        <w:tc>
          <w:tcPr>
            <w:tcW w:w="3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(305)</w:t>
            </w:r>
          </w:p>
        </w:tc>
      </w:tr>
      <w:tr>
        <w:trPr>
          <w:trHeight w:val="28"/>
        </w:trPr>
        <w:tc>
          <w:tcPr>
            <w:tcW w:w="7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6"/>
        </w:trPr>
        <w:tc>
          <w:tcPr>
            <w:tcW w:w="76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82,063</w:t>
            </w: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(29,358)</w:t>
            </w:r>
          </w:p>
        </w:tc>
      </w:tr>
      <w:tr>
        <w:trPr>
          <w:trHeight w:val="208"/>
        </w:trPr>
        <w:tc>
          <w:tcPr>
            <w:tcW w:w="766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(490)</w:t>
            </w: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w:t>
            </w:r>
          </w:p>
        </w:tc>
      </w:tr>
      <w:tr>
        <w:trPr>
          <w:trHeight w:val="28"/>
        </w:trPr>
        <w:tc>
          <w:tcPr>
            <w:tcW w:w="7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6"/>
        </w:trPr>
        <w:tc>
          <w:tcPr>
            <w:tcW w:w="76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NET CHANGE IN CASH AND CASH EQUIVALENTS</w:t>
            </w: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19,958</w:t>
            </w:r>
          </w:p>
        </w:tc>
        <w:tc>
          <w:tcPr>
            <w:tcW w:w="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(54,278)</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54,224</w:t>
            </w:r>
          </w:p>
        </w:tc>
        <w:tc>
          <w:tcPr>
            <w:tcW w:w="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103,095</w:t>
            </w:r>
          </w:p>
        </w:tc>
      </w:tr>
      <w:tr>
        <w:trPr>
          <w:trHeight w:val="223"/>
        </w:trPr>
        <w:tc>
          <w:tcPr>
            <w:tcW w:w="766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74,182</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48,817</w:t>
            </w:r>
          </w:p>
        </w:tc>
      </w:tr>
      <w:tr>
        <w:trPr>
          <w:trHeight w:val="20"/>
        </w:trPr>
        <w:tc>
          <w:tcPr>
            <w:tcW w:w="7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480" w:top="782" w:right="479"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940"/>
          </w:cols>
          <w:pgMar w:left="480" w:top="782" w:right="47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RECONCILIATION OF CONSOLIDATED NON-GAAP FINANCIAL MEASURES</w:t>
      </w:r>
    </w:p>
    <w:p>
      <w:pPr>
        <w:spacing w:after="0" w:line="171"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The following table reconciles revenue growth, the most directly comparable GAAP measure, to organic constant currency revenue decline for the periods presented. For the three months ended June 30, 2024, we have provided the impact of revenue from the acquisition of Vault. For the six months ended June 30, 2024, we have provided the impact of revenue from the acquisitions of Vault and A-Check.</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1980" w:type="dxa"/>
            <w:vAlign w:val="bottom"/>
          </w:tcPr>
          <w:p>
            <w:pPr>
              <w:jc w:val="right"/>
              <w:ind w:right="29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69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June 30, 2024</w:t>
            </w:r>
          </w:p>
        </w:tc>
        <w:tc>
          <w:tcPr>
            <w:tcW w:w="19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June 30, 2024</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revenue growth</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6900" w:type="dxa"/>
            <w:vAlign w:val="bottom"/>
          </w:tcPr>
          <w:p>
            <w:pPr>
              <w:ind w:left="20"/>
              <w:spacing w:after="0" w:line="230" w:lineRule="exact"/>
              <w:rPr>
                <w:sz w:val="20"/>
                <w:szCs w:val="20"/>
                <w:color w:val="auto"/>
              </w:rPr>
            </w:pPr>
            <w:r>
              <w:rPr>
                <w:rFonts w:ascii="Arial" w:cs="Arial" w:eastAsia="Arial" w:hAnsi="Arial"/>
                <w:sz w:val="18"/>
                <w:szCs w:val="18"/>
                <w:color w:val="auto"/>
              </w:rPr>
              <w:t>Inorganic revenue growth</w:t>
            </w:r>
            <w:r>
              <w:rPr>
                <w:rFonts w:ascii="Arial" w:cs="Arial" w:eastAsia="Arial" w:hAnsi="Arial"/>
                <w:sz w:val="23"/>
                <w:szCs w:val="23"/>
                <w:color w:val="auto"/>
                <w:vertAlign w:val="superscript"/>
              </w:rPr>
              <w:t>(1)</w:t>
            </w:r>
          </w:p>
        </w:tc>
        <w:tc>
          <w:tcPr>
            <w:tcW w:w="1960" w:type="dxa"/>
            <w:vAlign w:val="bottom"/>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6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Impact from foreign currency exchange</w:t>
            </w:r>
            <w:r>
              <w:rPr>
                <w:rFonts w:ascii="Arial" w:cs="Arial" w:eastAsia="Arial" w:hAnsi="Arial"/>
                <w:sz w:val="23"/>
                <w:szCs w:val="23"/>
                <w:color w:val="auto"/>
                <w:vertAlign w:val="superscript"/>
              </w:rPr>
              <w:t>(2)</w:t>
            </w:r>
          </w:p>
        </w:tc>
        <w:tc>
          <w:tcPr>
            <w:tcW w:w="2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6900" w:type="dxa"/>
            <w:vAlign w:val="bottom"/>
          </w:tcPr>
          <w:p>
            <w:pPr>
              <w:ind w:left="20"/>
              <w:spacing w:after="0"/>
              <w:rPr>
                <w:sz w:val="20"/>
                <w:szCs w:val="20"/>
                <w:color w:val="auto"/>
              </w:rPr>
            </w:pPr>
            <w:r>
              <w:rPr>
                <w:rFonts w:ascii="Arial" w:cs="Arial" w:eastAsia="Arial" w:hAnsi="Arial"/>
                <w:sz w:val="18"/>
                <w:szCs w:val="18"/>
                <w:color w:val="auto"/>
              </w:rPr>
              <w:t>Organic constant currency revenue decline</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
        </w:trPr>
        <w:tc>
          <w:tcPr>
            <w:tcW w:w="7060" w:type="dxa"/>
            <w:vAlign w:val="bottom"/>
            <w:gridSpan w:val="2"/>
            <w:vMerge w:val="restart"/>
          </w:tcPr>
          <w:p>
            <w:pPr>
              <w:jc w:val="right"/>
              <w:ind w:right="4970"/>
              <w:spacing w:after="0"/>
              <w:rPr>
                <w:sz w:val="20"/>
                <w:szCs w:val="20"/>
                <w:color w:val="auto"/>
              </w:rPr>
            </w:pPr>
            <w:r>
              <w:rPr>
                <w:rFonts w:ascii="Arial" w:cs="Arial" w:eastAsia="Arial" w:hAnsi="Arial"/>
                <w:sz w:val="14"/>
                <w:szCs w:val="14"/>
                <w:color w:val="auto"/>
              </w:rPr>
              <w:t>_________________________</w:t>
            </w: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7060" w:type="dxa"/>
            <w:vAlign w:val="bottom"/>
            <w:gridSpan w:val="2"/>
            <w:vMerge w:val="continue"/>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Impact to revenue growth in the current period from M&amp;A activity that has occurred over the past twelve months.</w:t>
      </w:r>
    </w:p>
    <w:p>
      <w:pPr>
        <w:spacing w:after="0" w:line="68" w:lineRule="exact"/>
        <w:rPr>
          <w:rFonts w:ascii="Arial" w:cs="Arial" w:eastAsia="Arial" w:hAnsi="Arial"/>
          <w:sz w:val="14"/>
          <w:szCs w:val="14"/>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Impact to revenue growth in the current period from fluctuations in foreign currency exchange rates.</w:t>
      </w:r>
    </w:p>
    <w:p>
      <w:pPr>
        <w:spacing w:after="0" w:line="396"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The following table reconciles net (loss) income, the most directly comparable GAAP measure, to Adjusted EBITDA for the periods presented:</w:t>
      </w:r>
    </w:p>
    <w:p>
      <w:pPr>
        <w:spacing w:after="0" w:line="5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6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5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8"/>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(6,232)</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323</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(14,187)</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57"/>
        </w:trPr>
        <w:tc>
          <w:tcPr>
            <w:tcW w:w="502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320" w:type="dxa"/>
            <w:vAlign w:val="bottom"/>
          </w:tcPr>
          <w:p>
            <w:pPr>
              <w:spacing w:after="0"/>
              <w:rPr>
                <w:sz w:val="22"/>
                <w:szCs w:val="22"/>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7,094</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(1,924)</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10,143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8,990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20,455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17,598</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15,820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16,120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31,590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31,242</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11,703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9,358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21,045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17,401</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line="230" w:lineRule="exact"/>
              <w:rPr>
                <w:sz w:val="20"/>
                <w:szCs w:val="20"/>
                <w:color w:val="auto"/>
              </w:rPr>
            </w:pPr>
            <w:r>
              <w:rPr>
                <w:rFonts w:ascii="Arial" w:cs="Arial" w:eastAsia="Arial" w:hAnsi="Arial"/>
                <w:sz w:val="18"/>
                <w:szCs w:val="18"/>
                <w:color w:val="auto"/>
              </w:rPr>
              <w:t>Transaction expenses</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4,120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3,133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21,108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8,259</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Restructuring</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1,566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11,490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4,767</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14,763</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line="230" w:lineRule="exact"/>
              <w:rPr>
                <w:sz w:val="20"/>
                <w:szCs w:val="20"/>
                <w:color w:val="auto"/>
              </w:rPr>
            </w:pPr>
            <w:r>
              <w:rPr>
                <w:rFonts w:ascii="Arial" w:cs="Arial" w:eastAsia="Arial" w:hAnsi="Arial"/>
                <w:sz w:val="18"/>
                <w:szCs w:val="18"/>
                <w:color w:val="auto"/>
              </w:rPr>
              <w:t>Technology transformation</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455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830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Settlements impacting comparability</w:t>
            </w:r>
            <w:r>
              <w:rPr>
                <w:rFonts w:ascii="Arial" w:cs="Arial" w:eastAsia="Arial" w:hAnsi="Arial"/>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(5)</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615</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489</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110</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46,284</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49,997</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84,794</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95,552</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Adjusted EBITDA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0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w:t>
      </w:r>
    </w:p>
    <w:p>
      <w:pPr>
        <w:spacing w:after="0" w:line="69" w:lineRule="exact"/>
        <w:rPr>
          <w:sz w:val="20"/>
          <w:szCs w:val="20"/>
          <w:color w:val="auto"/>
        </w:rPr>
      </w:pPr>
    </w:p>
    <w:p>
      <w:pPr>
        <w:ind w:left="340" w:right="20" w:hanging="332"/>
        <w:spacing w:after="0" w:line="261"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Consists of transaction expenses related to M&amp;A, associated earn-outs, one-time public company transition expenses and ancillary non-recurring public company expenses and fees associated with financing transactions. For the three months ended June 30, 2024, costs consisted of $3.7 million of transaction costs and professional fees to support the merger with First Advantage, $3.1 million related to M&amp;A activity for the acquisitions of Vault, A-Check, and Socrates, offset by a $2.7 million gain as a result of reassessing the estimated fair value of contingent consideration. For the three months ended June 30, 2023, costs consisted primarily of $1.9 million of M&amp;A related costs for the acquisitions of Socrates and A-Check and $1.2 million of costs to support the Secondary Public Offering in June 2023.For the six months ended June 30, 2024, costs consisted of $14.0 million of transaction costs and professional fees to support the merger with First Advantage, $5.8 million related to M&amp;A activity for the acquisitions of Vault, A-Check, and Socrates, $4.0 million due to an out-of-period adjustment to the earn-out liability for the EBI acquisition, offset by a $2.7 million gain as a result of reassessing the estimated fair value of contingent consideration.For the six months ended June 30, 2023, costs consisted primarily of $4.6 million of M&amp;A related costs for the acquisitions of Socrates and A-Check, $1.2 million of M&amp;A costs for the EBI acquisition primarily due to the acceleration of contract costs related to the completion of the EBI platform migration, $2.5 million of registration statement costs, costs to support the Secondary Public Offering in June 2023, one-time public company transition expenses and expenses related to executing our interest rate swap.</w:t>
      </w:r>
    </w:p>
    <w:p>
      <w:pPr>
        <w:spacing w:after="0" w:line="31" w:lineRule="exact"/>
        <w:rPr>
          <w:rFonts w:ascii="Arial" w:cs="Arial" w:eastAsia="Arial" w:hAnsi="Arial"/>
          <w:sz w:val="14"/>
          <w:szCs w:val="14"/>
          <w:color w:val="auto"/>
        </w:rPr>
      </w:pPr>
    </w:p>
    <w:p>
      <w:pPr>
        <w:ind w:left="340" w:hanging="332"/>
        <w:spacing w:after="0" w:line="262"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Consists of restructuring-related costs, including executive recruiting and severance charges, and lease termination costs and disposal of fixed assets related to our real estate consolidation efforts. Beginning in 2020, we began executing a virtual-first strategy, closing offices and reducing office space globally. In 2022, we began executing on a restructuring program to realign senior leadership and functions with the goal of elevating our go-to-market strategy and accelerating our technology and product innovation. At the end of 2022, we also launched Project Nucleus which we expect to drive meaningful cost savings and efficiency gains in our cost of revenues. For the three months ended June 30, 2024, costs include $1.6 million of restructuring-related charges. For the three months ended June 30, 2023, costs consisted of $8.9 million in connection with executing against our real estate consolidation program which included a $5.3 million impairment charge on ROU assets, $1.9 million of accelerated rent and facilities costs, and $1.7 million of fixed asset disposals. The remaining $2.6 million consists of restructuring related charges to support our strategy refresh and the execution of Project Nucleus. For the six months ended June 30, 2024, costs include $4.6 million of restructuring-related charges and $0.2 million of fixed asset disposals in connection with office closures. For the six months ended June 30, 2023, costs consisted of $9.2 million of real estate consolidation costs and $5.5 million of restructuring-related charges.</w:t>
      </w:r>
    </w:p>
    <w:p>
      <w:pPr>
        <w:spacing w:after="0" w:line="200" w:lineRule="exact"/>
        <w:rPr>
          <w:rFonts w:ascii="Arial" w:cs="Arial" w:eastAsia="Arial" w:hAnsi="Arial"/>
          <w:sz w:val="14"/>
          <w:szCs w:val="14"/>
          <w:color w:val="auto"/>
        </w:rPr>
      </w:pPr>
    </w:p>
    <w:p>
      <w:pPr>
        <w:ind w:left="340" w:right="160" w:hanging="332"/>
        <w:spacing w:after="0" w:line="273"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costs related to technology modernization, as well as costs related to decommissioning of on-premise production systems and redundant fulfillment systems of acquired companies and the migration to our platform. We believe that these costs are discrete and non-recurring in nature, as they relate to a one-time restructuring and decommissioning of our on-premise production systems and corporate</w:t>
      </w:r>
    </w:p>
    <w:p>
      <w:pPr>
        <w:sectPr>
          <w:pgSz w:w="11900" w:h="16838" w:orient="portrait"/>
          <w:cols w:equalWidth="0" w:num="1">
            <w:col w:w="11240"/>
          </w:cols>
          <w:pgMar w:left="320" w:top="944" w:right="33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944" w:right="339" w:bottom="1440" w:gutter="0" w:footer="0" w:header="0"/>
          <w:type w:val="continuous"/>
        </w:sectPr>
      </w:pPr>
    </w:p>
    <w:bookmarkStart w:id="11" w:name="page12"/>
    <w:bookmarkEnd w:id="11"/>
    <w:p>
      <w:pPr>
        <w:ind w:left="340" w:right="60"/>
        <w:spacing w:after="0" w:line="261" w:lineRule="auto"/>
        <w:rPr>
          <w:sz w:val="20"/>
          <w:szCs w:val="20"/>
          <w:color w:val="auto"/>
        </w:rPr>
      </w:pPr>
      <w:r>
        <w:rPr>
          <w:rFonts w:ascii="Arial" w:cs="Arial" w:eastAsia="Arial" w:hAnsi="Arial"/>
          <w:sz w:val="14"/>
          <w:szCs w:val="14"/>
          <w:color w:val="auto"/>
        </w:rPr>
        <w:t>technological infrastructure and the move to a managed service provider, decommissioning redundant fulfillment systems and modernizing internal functional systems. As such, they are not normal, recurring operating expenses and are not reflective of ongoing trends in the cost of doing business. The significant majority of these are related to the last two phases of Project Ignite, a three-phase strategic investment initiative launched in 2019 to create an enterprise-class global platform, with the remainder related to an investment made to modernize internal functional systems in preparation for our public company infrastructure. Phase two of Project Ignite was completed in 2022 and phase three of Project Ignite was completed in the first quarter of 2023. For the three months ended June 30, 2024, $0.5 million related to decommissioning of the redundant production and fulfillment systems of A-Check and the redundant production systems of Vault and integrating the fulfillment systems of Vault with Sterling to enhance the delivery of drug and health services. For the three months ended June 30, 2023, $0.2 million related to decommissioning of the redundant production and fulfillment systems of A-Check and the redundant fulfillment systems of Socrates. For the six months ended June 30, 2024, $0.8 million related to decommissioning of the redundant production and fulfillment systems of A-Check, the redundant fulfillment systems of Socrates, and the redundant production systems of Vault and integrating the fulfillment systems of Vault with Sterling to enhance the delivery of drug and health services.For the six months ended June 30, 2023, investment related to the conclusion of Project Ignite was $3.1 million and the remaining $0.3 million related to costs for decommissioning of the on-premise production system and decommissioning of the redundant fulfillment system of EBI and migrating onto our platform and decommissioning costs of the A-Check and Socrates systems.</w:t>
      </w:r>
    </w:p>
    <w:p>
      <w:pPr>
        <w:spacing w:after="0" w:line="32" w:lineRule="exact"/>
        <w:rPr>
          <w:sz w:val="20"/>
          <w:szCs w:val="20"/>
          <w:color w:val="auto"/>
        </w:rPr>
      </w:pPr>
    </w:p>
    <w:p>
      <w:pPr>
        <w:ind w:left="340" w:hanging="332"/>
        <w:spacing w:after="0" w:line="269" w:lineRule="auto"/>
        <w:tabs>
          <w:tab w:leader="none" w:pos="327"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Consists of non-recurring settlements and the related legal fees impacting comparability. For the three and six months ended June 30, 2024, costs include legal settlements totaling $1.0 million for certain settled legal litigation in the year or anticipated settlements based on claims existing as of the end of the reporting period. These legal settlement related costs were discrete and non-recurring in nature and we do not expect them to occur in future periods. For the three and six months ended June 30, 2023, the Company did not incur costs related to non-recurring settlements and legal fees impacting comparability.</w:t>
      </w:r>
    </w:p>
    <w:p>
      <w:pPr>
        <w:spacing w:after="0" w:line="20" w:lineRule="exact"/>
        <w:rPr>
          <w:rFonts w:ascii="Arial" w:cs="Arial" w:eastAsia="Arial" w:hAnsi="Arial"/>
          <w:sz w:val="14"/>
          <w:szCs w:val="14"/>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Consists of gains or losses on foreign currency transactions and impairment of capitalized software.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net (loss) income margin and Adjusted EBITDA Margin for the periods presented:</w:t>
      </w:r>
    </w:p>
    <w:p>
      <w:pPr>
        <w:spacing w:after="0" w:line="128"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640" w:type="dxa"/>
            <w:vAlign w:val="bottom"/>
            <w:gridSpan w:val="4"/>
          </w:tcPr>
          <w:p>
            <w:pPr>
              <w:jc w:val="right"/>
              <w:ind w:right="773"/>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4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r>
      <w:tr>
        <w:trPr>
          <w:trHeight w:val="195"/>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r>
      <w:tr>
        <w:trPr>
          <w:trHeight w:val="238"/>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(6,232)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(14,187)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914</w:t>
            </w:r>
          </w:p>
        </w:tc>
      </w:tr>
      <w:tr>
        <w:trPr>
          <w:trHeight w:val="257"/>
        </w:trPr>
        <w:tc>
          <w:tcPr>
            <w:tcW w:w="46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46,284</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49,997</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84,794</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95,552</w:t>
            </w:r>
          </w:p>
        </w:tc>
      </w:tr>
      <w:tr>
        <w:trPr>
          <w:trHeight w:val="25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200,528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190,384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386,527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369,658</w:t>
            </w:r>
          </w:p>
        </w:tc>
      </w:tr>
      <w:tr>
        <w:trPr>
          <w:trHeight w:val="257"/>
        </w:trPr>
        <w:tc>
          <w:tcPr>
            <w:tcW w:w="4660" w:type="dxa"/>
            <w:vAlign w:val="bottom"/>
          </w:tcPr>
          <w:p>
            <w:pPr>
              <w:ind w:left="20"/>
              <w:spacing w:after="0"/>
              <w:rPr>
                <w:sz w:val="20"/>
                <w:szCs w:val="20"/>
                <w:color w:val="auto"/>
              </w:rPr>
            </w:pPr>
            <w:r>
              <w:rPr>
                <w:rFonts w:ascii="Arial" w:cs="Arial" w:eastAsia="Arial" w:hAnsi="Arial"/>
                <w:sz w:val="18"/>
                <w:szCs w:val="18"/>
                <w:color w:val="auto"/>
              </w:rPr>
              <w:t>Net (loss) income margin</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57"/>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23.1 %</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26.3 %</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25.8 %</w:t>
            </w:r>
          </w:p>
        </w:tc>
      </w:tr>
    </w:tbl>
    <w:p>
      <w:pPr>
        <w:spacing w:after="0" w:line="200" w:lineRule="exact"/>
        <w:rPr>
          <w:sz w:val="20"/>
          <w:szCs w:val="20"/>
          <w:color w:val="auto"/>
        </w:rPr>
      </w:pPr>
    </w:p>
    <w:p>
      <w:pPr>
        <w:spacing w:after="0" w:line="294"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The following table reconciles net (loss) income, the most directly comparable GAAP measure, to Adjusted Net Income and Adjusted Earnings Per Share for the periods presented:</w:t>
      </w:r>
    </w:p>
    <w:p>
      <w:pPr>
        <w:spacing w:after="0" w:line="65"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2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5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8"/>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56"/>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 (benefit)</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7,094</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37"/>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56"/>
        </w:trPr>
        <w:tc>
          <w:tcPr>
            <w:tcW w:w="5140" w:type="dxa"/>
            <w:vAlign w:val="bottom"/>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10,687</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10,625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21,318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20,686</w:t>
            </w: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11,703</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17,401</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line="230" w:lineRule="exact"/>
              <w:rPr>
                <w:sz w:val="20"/>
                <w:szCs w:val="20"/>
                <w:color w:val="auto"/>
              </w:rPr>
            </w:pPr>
            <w:r>
              <w:rPr>
                <w:rFonts w:ascii="Arial" w:cs="Arial" w:eastAsia="Arial" w:hAnsi="Arial"/>
                <w:sz w:val="18"/>
                <w:szCs w:val="18"/>
                <w:color w:val="auto"/>
              </w:rPr>
              <w:t>Transaction expenses</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4,120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8,259</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Restructuring</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14,763</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line="230" w:lineRule="exact"/>
              <w:rPr>
                <w:sz w:val="20"/>
                <w:szCs w:val="20"/>
                <w:color w:val="auto"/>
              </w:rPr>
            </w:pPr>
            <w:r>
              <w:rPr>
                <w:rFonts w:ascii="Arial" w:cs="Arial" w:eastAsia="Arial" w:hAnsi="Arial"/>
                <w:sz w:val="18"/>
                <w:szCs w:val="18"/>
                <w:color w:val="auto"/>
              </w:rPr>
              <w:t>Technology transformation</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Settlements impacting comparability</w:t>
            </w:r>
            <w:r>
              <w:rPr>
                <w:rFonts w:ascii="Arial" w:cs="Arial" w:eastAsia="Arial" w:hAnsi="Arial"/>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(5)</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3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before income tax effect</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31,008</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54,067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67,398</w:t>
            </w:r>
          </w:p>
        </w:tc>
        <w:tc>
          <w:tcPr>
            <w:tcW w:w="0" w:type="dxa"/>
            <w:vAlign w:val="bottom"/>
          </w:tcPr>
          <w:p>
            <w:pPr>
              <w:spacing w:after="0"/>
              <w:rPr>
                <w:sz w:val="1"/>
                <w:szCs w:val="1"/>
                <w:color w:val="auto"/>
              </w:rPr>
            </w:pPr>
          </w:p>
        </w:tc>
      </w:tr>
      <w:tr>
        <w:trPr>
          <w:trHeight w:val="257"/>
        </w:trPr>
        <w:tc>
          <w:tcPr>
            <w:tcW w:w="5140" w:type="dxa"/>
            <w:vAlign w:val="bottom"/>
            <w:tcBorders>
              <w:bottom w:val="single" w:sz="8" w:color="CCEEFF"/>
            </w:tcBorders>
          </w:tcPr>
          <w:p>
            <w:pPr>
              <w:ind w:left="20"/>
              <w:spacing w:after="0" w:line="256" w:lineRule="exact"/>
              <w:rPr>
                <w:sz w:val="20"/>
                <w:szCs w:val="20"/>
                <w:color w:val="auto"/>
              </w:rPr>
            </w:pPr>
            <w:r>
              <w:rPr>
                <w:rFonts w:ascii="Arial" w:cs="Arial" w:eastAsia="Arial" w:hAnsi="Arial"/>
                <w:sz w:val="18"/>
                <w:szCs w:val="18"/>
                <w:color w:val="auto"/>
              </w:rPr>
              <w:t>Income tax effect</w:t>
            </w:r>
            <w:r>
              <w:rPr>
                <w:rFonts w:ascii="Arial" w:cs="Arial" w:eastAsia="Arial" w:hAnsi="Arial"/>
                <w:sz w:val="23"/>
                <w:szCs w:val="23"/>
                <w:color w:val="auto"/>
                <w:vertAlign w:val="superscript"/>
              </w:rPr>
              <w:t>(6)</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9,216</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17,908</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income per share—basic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vMerge w:val="continue"/>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(0.07)</w:t>
            </w:r>
          </w:p>
        </w:tc>
        <w:tc>
          <w:tcPr>
            <w:tcW w:w="80" w:type="dxa"/>
            <w:vAlign w:val="bottom"/>
          </w:tcPr>
          <w:p>
            <w:pPr>
              <w:spacing w:after="0"/>
              <w:rPr>
                <w:sz w:val="17"/>
                <w:szCs w:val="17"/>
                <w:color w:val="auto"/>
              </w:rPr>
            </w:pPr>
          </w:p>
        </w:tc>
        <w:tc>
          <w:tcPr>
            <w:tcW w:w="38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0.00</w:t>
            </w:r>
          </w:p>
        </w:tc>
        <w:tc>
          <w:tcPr>
            <w:tcW w:w="100" w:type="dxa"/>
            <w:vAlign w:val="bottom"/>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(0.16)</w:t>
            </w:r>
          </w:p>
        </w:tc>
        <w:tc>
          <w:tcPr>
            <w:tcW w:w="100" w:type="dxa"/>
            <w:vAlign w:val="bottom"/>
          </w:tcPr>
          <w:p>
            <w:pPr>
              <w:spacing w:after="0"/>
              <w:rPr>
                <w:sz w:val="17"/>
                <w:szCs w:val="17"/>
                <w:color w:val="auto"/>
              </w:rPr>
            </w:pPr>
          </w:p>
        </w:tc>
        <w:tc>
          <w:tcPr>
            <w:tcW w:w="38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per share—diluted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6"/>
        </w:trPr>
        <w:tc>
          <w:tcPr>
            <w:tcW w:w="5140" w:type="dxa"/>
            <w:vAlign w:val="bottom"/>
          </w:tcPr>
          <w:p>
            <w:pPr>
              <w:ind w:left="20"/>
              <w:spacing w:after="0"/>
              <w:rPr>
                <w:sz w:val="20"/>
                <w:szCs w:val="20"/>
                <w:color w:val="auto"/>
              </w:rPr>
            </w:pPr>
            <w:r>
              <w:rPr>
                <w:rFonts w:ascii="Arial" w:cs="Arial" w:eastAsia="Arial" w:hAnsi="Arial"/>
                <w:sz w:val="18"/>
                <w:szCs w:val="18"/>
                <w:color w:val="auto"/>
              </w:rPr>
              <w:t>Adjusted Earnings Per Share—basic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0.23</w:t>
            </w:r>
          </w:p>
        </w:tc>
        <w:tc>
          <w:tcPr>
            <w:tcW w:w="8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5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Earnings Per Share—diluted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w:t>
      </w:r>
    </w:p>
    <w:p>
      <w:pPr>
        <w:spacing w:after="0" w:line="69" w:lineRule="exact"/>
        <w:rPr>
          <w:sz w:val="20"/>
          <w:szCs w:val="20"/>
          <w:color w:val="auto"/>
        </w:rPr>
      </w:pPr>
    </w:p>
    <w:p>
      <w:pPr>
        <w:ind w:left="340" w:right="640" w:hanging="332"/>
        <w:spacing w:after="0" w:line="301"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Consists of transaction expenses related to M&amp;A, associated earn-outs, one-time public company transition expenses and ancillary non-recurring public company expenses and fees associated with financing transactions.</w:t>
      </w:r>
    </w:p>
    <w:p>
      <w:pPr>
        <w:spacing w:after="0" w:line="1" w:lineRule="exact"/>
        <w:rPr>
          <w:rFonts w:ascii="Arial" w:cs="Arial" w:eastAsia="Arial" w:hAnsi="Arial"/>
          <w:sz w:val="14"/>
          <w:szCs w:val="14"/>
          <w:color w:val="auto"/>
        </w:rPr>
      </w:pPr>
    </w:p>
    <w:p>
      <w:pPr>
        <w:ind w:left="340" w:right="220" w:hanging="332"/>
        <w:spacing w:after="0" w:line="305"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Consists of restructuring-related costs, including executive recruiting and severance charges, and lease termination costs and disposal of fixed assets related to our real estate consolidation efforts. Beginning in 2020, we began executing a virtual-first strategy, closing offices and</w:t>
      </w:r>
    </w:p>
    <w:p>
      <w:pPr>
        <w:sectPr>
          <w:pgSz w:w="11900" w:h="16838" w:orient="portrait"/>
          <w:cols w:equalWidth="0" w:num="1">
            <w:col w:w="11220"/>
          </w:cols>
          <w:pgMar w:left="320" w:top="846" w:right="359" w:bottom="1440" w:gutter="0" w:footer="0" w:header="0"/>
        </w:sect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20"/>
          </w:cols>
          <w:pgMar w:left="320" w:top="846" w:right="359" w:bottom="1440" w:gutter="0" w:footer="0" w:header="0"/>
          <w:type w:val="continuous"/>
        </w:sectPr>
      </w:pPr>
    </w:p>
    <w:bookmarkStart w:id="12" w:name="page13"/>
    <w:bookmarkEnd w:id="12"/>
    <w:p>
      <w:pPr>
        <w:ind w:left="340" w:right="200"/>
        <w:spacing w:after="0" w:line="283" w:lineRule="auto"/>
        <w:rPr>
          <w:sz w:val="20"/>
          <w:szCs w:val="20"/>
          <w:color w:val="auto"/>
        </w:rPr>
      </w:pPr>
      <w:r>
        <w:rPr>
          <w:rFonts w:ascii="Arial" w:cs="Arial" w:eastAsia="Arial" w:hAnsi="Arial"/>
          <w:sz w:val="14"/>
          <w:szCs w:val="14"/>
          <w:color w:val="auto"/>
        </w:rPr>
        <w:t>reducing office space globally. In 2022, we began executing on a restructuring program to realign senior leadership and functions with the goal of elevating our go-to-market strategy and accelerating our technology and product innovation. At the end of 2022, we also launched Project Nucleus which we expect to drive meaningful cost savings and efficiency gains in our cost of revenues.</w:t>
      </w:r>
    </w:p>
    <w:p>
      <w:pPr>
        <w:spacing w:after="0" w:line="11" w:lineRule="exact"/>
        <w:rPr>
          <w:sz w:val="20"/>
          <w:szCs w:val="20"/>
          <w:color w:val="auto"/>
        </w:rPr>
      </w:pPr>
    </w:p>
    <w:p>
      <w:pPr>
        <w:ind w:left="340" w:hanging="332"/>
        <w:spacing w:after="0" w:line="262"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costs related to technology modernization, as well as costs related to decommissioning of on-premise production systems and redundant fulfillment systems of acquired companies and the migration to our platform. We believe that these costs are discrete and non-recurring in nature, as they relate to a one-time restructuring and decommissioning of our on-premise production systems and corporate technological infrastructure and the move to a managed service provider, decommissioning redundant fulfillment systems and modernizing internal functional systems. As such, they are not normal, recurring operating expenses and are not reflective of ongoing trends in the cost of doing business. The significant majority of these are related to the last two phases of Project Ignite, a three-phase strategic investment initiative launched in 2019 to create an enterprise-class global platform, with the remainder related to an investment made to modernize internal functional systems in preparation for our public company infrastructure. Phase two of Project Ignite was completed in 2022 and phase three of Project Ignite was completed in the first quarter of 2023.</w:t>
      </w:r>
    </w:p>
    <w:p>
      <w:pPr>
        <w:spacing w:after="0" w:line="25" w:lineRule="exact"/>
        <w:rPr>
          <w:rFonts w:ascii="Arial" w:cs="Arial" w:eastAsia="Arial" w:hAnsi="Arial"/>
          <w:sz w:val="14"/>
          <w:szCs w:val="14"/>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Consists of non-recurring settlements and the related legal fees impacting comparability.</w:t>
      </w:r>
    </w:p>
    <w:p>
      <w:pPr>
        <w:spacing w:after="0" w:line="68" w:lineRule="exact"/>
        <w:rPr>
          <w:rFonts w:ascii="Arial" w:cs="Arial" w:eastAsia="Arial" w:hAnsi="Arial"/>
          <w:sz w:val="14"/>
          <w:szCs w:val="14"/>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Consists of gains or losses on foreign currency transactions and impairment of capitalized software.</w:t>
      </w:r>
    </w:p>
    <w:p>
      <w:pPr>
        <w:spacing w:after="0" w:line="68" w:lineRule="exact"/>
        <w:rPr>
          <w:rFonts w:ascii="Arial" w:cs="Arial" w:eastAsia="Arial" w:hAnsi="Arial"/>
          <w:sz w:val="14"/>
          <w:szCs w:val="14"/>
          <w:color w:val="auto"/>
        </w:rPr>
      </w:pPr>
    </w:p>
    <w:p>
      <w:pPr>
        <w:ind w:left="340" w:right="40" w:hanging="332"/>
        <w:spacing w:after="0" w:line="266"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Normalized effective tax rates of 29.7% and 26.2% have been used to compute Adjusted Net Income for the three months ended June 30, 2024 and 2023, respectively. Normalized effective tax rates of 27.5% and 26.6% have been used to compute Adjusted Net Income for the six months ended June 30, 2024 and 2023, respectively. As of December 31, 2023, we had net operating loss carryforwards of approximately $15.7 million for federal income tax purposes and deferred tax assets of approximately $5.6 million related to state and foreign income tax loss carryforwards available to reduce future income subject to income taxes. The amount of actual cash taxes we pay for federal, state, and foreign income taxes differs significantly from the effective income tax rate computed in accordance with US GAAP, and from the normalized rate shown above.</w:t>
      </w:r>
    </w:p>
    <w:p>
      <w:pPr>
        <w:spacing w:after="0" w:line="4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following table reconciles net (loss) income per share, the most directly comparable GAAP measure, to Adjusted Earnings Per Share for the periods presented:</w:t>
      </w:r>
    </w:p>
    <w:p>
      <w:pPr>
        <w:spacing w:after="0" w:line="69"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52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5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8"/>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1"/>
        </w:trPr>
        <w:tc>
          <w:tcPr>
            <w:tcW w:w="5100" w:type="dxa"/>
            <w:vAlign w:val="bottom"/>
          </w:tcPr>
          <w:p>
            <w:pPr>
              <w:ind w:left="20"/>
              <w:spacing w:after="0"/>
              <w:rPr>
                <w:sz w:val="20"/>
                <w:szCs w:val="20"/>
                <w:color w:val="auto"/>
              </w:rPr>
            </w:pPr>
            <w:r>
              <w:rPr>
                <w:rFonts w:ascii="Arial" w:cs="Arial" w:eastAsia="Arial" w:hAnsi="Arial"/>
                <w:sz w:val="18"/>
                <w:szCs w:val="18"/>
                <w:color w:val="auto"/>
              </w:rPr>
              <w:t>Less: Undistributed amounts allocated to participating</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10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Undistributed losses allocated to stockholders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(6,232)</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(14,187)</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outstanding—basic</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92,778,209</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92,723,901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91,526,151</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92,800,279</w:t>
            </w:r>
          </w:p>
        </w:tc>
        <w:tc>
          <w:tcPr>
            <w:tcW w:w="0" w:type="dxa"/>
            <w:vAlign w:val="bottom"/>
          </w:tcPr>
          <w:p>
            <w:pPr>
              <w:spacing w:after="0"/>
              <w:rPr>
                <w:sz w:val="1"/>
                <w:szCs w:val="1"/>
                <w:color w:val="auto"/>
              </w:rPr>
            </w:pPr>
          </w:p>
        </w:tc>
      </w:tr>
      <w:tr>
        <w:trPr>
          <w:trHeight w:val="256"/>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number of shares outstanding—diluted</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92,778,209</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94,498,666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91,526,151</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94,924,080</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per share—basic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income per share—diluted</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(0.07)</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(0.16)</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21,792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26,204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39,203</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49,490</w:t>
            </w:r>
          </w:p>
        </w:tc>
        <w:tc>
          <w:tcPr>
            <w:tcW w:w="0" w:type="dxa"/>
            <w:vAlign w:val="bottom"/>
          </w:tcPr>
          <w:p>
            <w:pPr>
              <w:spacing w:after="0"/>
              <w:rPr>
                <w:sz w:val="1"/>
                <w:szCs w:val="1"/>
                <w:color w:val="auto"/>
              </w:rPr>
            </w:pPr>
          </w:p>
        </w:tc>
      </w:tr>
      <w:tr>
        <w:trPr>
          <w:trHeight w:val="176"/>
        </w:trPr>
        <w:tc>
          <w:tcPr>
            <w:tcW w:w="5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Less: Undistributed amounts allocated to participating</w:t>
            </w:r>
          </w:p>
        </w:tc>
        <w:tc>
          <w:tcPr>
            <w:tcW w:w="14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Undistributed earnings allocated to stockholders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21,792</w:t>
            </w: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26,204</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39,203</w:t>
            </w: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49,490</w:t>
            </w:r>
          </w:p>
        </w:tc>
        <w:tc>
          <w:tcPr>
            <w:tcW w:w="0" w:type="dxa"/>
            <w:vAlign w:val="bottom"/>
          </w:tcPr>
          <w:p>
            <w:pPr>
              <w:spacing w:after="0"/>
              <w:rPr>
                <w:sz w:val="1"/>
                <w:szCs w:val="1"/>
                <w:color w:val="auto"/>
              </w:rPr>
            </w:pPr>
          </w:p>
        </w:tc>
      </w:tr>
      <w:tr>
        <w:trPr>
          <w:trHeight w:val="270"/>
        </w:trPr>
        <w:tc>
          <w:tcPr>
            <w:tcW w:w="5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10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outstanding—basic</w:t>
            </w: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92,778,209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92,723,901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91,526,151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92,800,279</w:t>
            </w:r>
          </w:p>
        </w:tc>
        <w:tc>
          <w:tcPr>
            <w:tcW w:w="0" w:type="dxa"/>
            <w:vAlign w:val="bottom"/>
          </w:tcPr>
          <w:p>
            <w:pPr>
              <w:spacing w:after="0"/>
              <w:rPr>
                <w:sz w:val="1"/>
                <w:szCs w:val="1"/>
                <w:color w:val="auto"/>
              </w:rPr>
            </w:pPr>
          </w:p>
        </w:tc>
      </w:tr>
      <w:tr>
        <w:trPr>
          <w:trHeight w:val="257"/>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outstanding—diluted</w:t>
            </w: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95,361,511</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94,498,666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94,380,452</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94,924,080</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Adjusted Earnings Per Share—basic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Earnings Per Share—diluted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3"/>
        </w:trPr>
        <w:tc>
          <w:tcPr>
            <w:tcW w:w="5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893"/>
              <w:spacing w:after="0"/>
              <w:rPr>
                <w:sz w:val="20"/>
                <w:szCs w:val="20"/>
                <w:color w:val="auto"/>
              </w:rPr>
            </w:pPr>
            <w:r>
              <w:rPr>
                <w:rFonts w:ascii="Arial" w:cs="Arial" w:eastAsia="Arial" w:hAnsi="Arial"/>
                <w:sz w:val="18"/>
                <w:szCs w:val="18"/>
                <w:color w:val="auto"/>
                <w:w w:val="99"/>
              </w:rPr>
              <w:t>10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following table presents the calculation of Adjusted Diluted Earnings Per Share for the periods presented:</w:t>
      </w:r>
    </w:p>
    <w:p>
      <w:pPr>
        <w:spacing w:after="0" w:line="137"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52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5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8"/>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per share—diluted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2"/>
        </w:trPr>
        <w:tc>
          <w:tcPr>
            <w:tcW w:w="5100" w:type="dxa"/>
            <w:vAlign w:val="bottom"/>
          </w:tcPr>
          <w:p>
            <w:pPr>
              <w:ind w:left="20"/>
              <w:spacing w:after="0"/>
              <w:rPr>
                <w:sz w:val="20"/>
                <w:szCs w:val="20"/>
                <w:color w:val="auto"/>
              </w:rPr>
            </w:pPr>
            <w:r>
              <w:rPr>
                <w:rFonts w:ascii="Arial" w:cs="Arial" w:eastAsia="Arial" w:hAnsi="Arial"/>
                <w:sz w:val="18"/>
                <w:szCs w:val="18"/>
                <w:i w:val="1"/>
                <w:iCs w:val="1"/>
                <w:color w:val="auto"/>
              </w:rPr>
              <w:t>Adjusted Net Income adjustments per share</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provision (benefit)</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5100" w:type="dxa"/>
            <w:vAlign w:val="bottom"/>
          </w:tcPr>
          <w:p>
            <w:pPr>
              <w:ind w:left="240"/>
              <w:spacing w:after="0"/>
              <w:rPr>
                <w:sz w:val="20"/>
                <w:szCs w:val="20"/>
                <w:color w:val="auto"/>
              </w:rPr>
            </w:pPr>
            <w:r>
              <w:rPr>
                <w:rFonts w:ascii="Arial" w:cs="Arial" w:eastAsia="Arial" w:hAnsi="Arial"/>
                <w:sz w:val="18"/>
                <w:szCs w:val="18"/>
                <w:color w:val="auto"/>
              </w:rPr>
              <w:t>Amortization of acquired intangible assets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30"/>
        </w:trPr>
        <w:tc>
          <w:tcPr>
            <w:tcW w:w="5100" w:type="dxa"/>
            <w:vAlign w:val="bottom"/>
          </w:tcPr>
          <w:p>
            <w:pPr>
              <w:ind w:left="240"/>
              <w:spacing w:after="0" w:line="230" w:lineRule="exact"/>
              <w:rPr>
                <w:sz w:val="20"/>
                <w:szCs w:val="20"/>
                <w:color w:val="auto"/>
              </w:rPr>
            </w:pPr>
            <w:r>
              <w:rPr>
                <w:rFonts w:ascii="Arial" w:cs="Arial" w:eastAsia="Arial" w:hAnsi="Arial"/>
                <w:sz w:val="18"/>
                <w:szCs w:val="18"/>
                <w:color w:val="auto"/>
              </w:rPr>
              <w:t>Transaction expenses</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Restructuring</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30"/>
        </w:trPr>
        <w:tc>
          <w:tcPr>
            <w:tcW w:w="5100" w:type="dxa"/>
            <w:vAlign w:val="bottom"/>
          </w:tcPr>
          <w:p>
            <w:pPr>
              <w:ind w:left="240"/>
              <w:spacing w:after="0" w:line="230" w:lineRule="exact"/>
              <w:rPr>
                <w:sz w:val="20"/>
                <w:szCs w:val="20"/>
                <w:color w:val="auto"/>
              </w:rPr>
            </w:pPr>
            <w:r>
              <w:rPr>
                <w:rFonts w:ascii="Arial" w:cs="Arial" w:eastAsia="Arial" w:hAnsi="Arial"/>
                <w:sz w:val="18"/>
                <w:szCs w:val="18"/>
                <w:color w:val="auto"/>
              </w:rPr>
              <w:t>Technology transformation</w:t>
            </w:r>
            <w:r>
              <w:rPr>
                <w:rFonts w:ascii="Arial" w:cs="Arial" w:eastAsia="Arial" w:hAnsi="Arial"/>
                <w:sz w:val="23"/>
                <w:szCs w:val="23"/>
                <w:color w:val="auto"/>
                <w:vertAlign w:val="superscript"/>
              </w:rPr>
              <w:t>(3)</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Settlements impacting comparability</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9"/>
        </w:trPr>
        <w:tc>
          <w:tcPr>
            <w:tcW w:w="5100" w:type="dxa"/>
            <w:vAlign w:val="bottom"/>
          </w:tcPr>
          <w:p>
            <w:pPr>
              <w:ind w:left="24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Income tax effect</w:t>
            </w:r>
            <w:r>
              <w:rPr>
                <w:rFonts w:ascii="Arial" w:cs="Arial" w:eastAsia="Arial" w:hAnsi="Arial"/>
                <w:sz w:val="23"/>
                <w:szCs w:val="23"/>
                <w:color w:val="auto"/>
                <w:vertAlign w:val="superscript"/>
              </w:rPr>
              <w:t>(6)</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45"/>
        </w:trPr>
        <w:tc>
          <w:tcPr>
            <w:tcW w:w="5100" w:type="dxa"/>
            <w:vAlign w:val="bottom"/>
          </w:tcPr>
          <w:p>
            <w:pPr>
              <w:ind w:left="20"/>
              <w:spacing w:after="0"/>
              <w:rPr>
                <w:sz w:val="20"/>
                <w:szCs w:val="20"/>
                <w:color w:val="auto"/>
              </w:rPr>
            </w:pPr>
            <w:r>
              <w:rPr>
                <w:rFonts w:ascii="Arial" w:cs="Arial" w:eastAsia="Arial" w:hAnsi="Arial"/>
                <w:sz w:val="18"/>
                <w:szCs w:val="18"/>
                <w:color w:val="auto"/>
              </w:rPr>
              <w:t>Adjusted Earnings Per Share—diluted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Weighted average number of shares outstanding used in</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computation of Adjusted Diluted Earnings Per Share:</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outstanding—diluted</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(GAAP)</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92,778,209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94,498,666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91,526,151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94,924,080</w:t>
            </w:r>
          </w:p>
        </w:tc>
        <w:tc>
          <w:tcPr>
            <w:tcW w:w="0" w:type="dxa"/>
            <w:vAlign w:val="bottom"/>
          </w:tcPr>
          <w:p>
            <w:pPr>
              <w:spacing w:after="0"/>
              <w:rPr>
                <w:sz w:val="1"/>
                <w:szCs w:val="1"/>
                <w:color w:val="auto"/>
              </w:rPr>
            </w:pPr>
          </w:p>
        </w:tc>
      </w:tr>
      <w:tr>
        <w:trPr>
          <w:trHeight w:val="211"/>
        </w:trPr>
        <w:tc>
          <w:tcPr>
            <w:tcW w:w="5100" w:type="dxa"/>
            <w:vAlign w:val="bottom"/>
          </w:tcPr>
          <w:p>
            <w:pPr>
              <w:ind w:left="20"/>
              <w:spacing w:after="0"/>
              <w:rPr>
                <w:sz w:val="20"/>
                <w:szCs w:val="20"/>
                <w:color w:val="auto"/>
              </w:rPr>
            </w:pPr>
            <w:r>
              <w:rPr>
                <w:rFonts w:ascii="Arial" w:cs="Arial" w:eastAsia="Arial" w:hAnsi="Arial"/>
                <w:sz w:val="18"/>
                <w:szCs w:val="18"/>
                <w:color w:val="auto"/>
              </w:rPr>
              <w:t>Options not included in weighted average number of shares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100" w:type="dxa"/>
            <w:vAlign w:val="bottom"/>
          </w:tcPr>
          <w:p>
            <w:pPr>
              <w:ind w:left="200"/>
              <w:spacing w:after="0"/>
              <w:rPr>
                <w:sz w:val="20"/>
                <w:szCs w:val="20"/>
                <w:color w:val="auto"/>
              </w:rPr>
            </w:pPr>
            <w:r>
              <w:rPr>
                <w:rFonts w:ascii="Arial" w:cs="Arial" w:eastAsia="Arial" w:hAnsi="Arial"/>
                <w:sz w:val="18"/>
                <w:szCs w:val="18"/>
                <w:color w:val="auto"/>
              </w:rPr>
              <w:t>outstanding—diluted (GAAP) (using treasury stock method)</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2,583,302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2,854,301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1"/>
        </w:trPr>
        <w:tc>
          <w:tcPr>
            <w:tcW w:w="5100" w:type="dxa"/>
            <w:vAlign w:val="bottom"/>
            <w:tcBorders>
              <w:top w:val="single" w:sz="8" w:color="CCEEFF"/>
            </w:tcBorders>
            <w:shd w:val="clear" w:color="auto" w:fill="CCEEFF"/>
          </w:tcPr>
          <w:p>
            <w:pPr>
              <w:ind w:left="20"/>
              <w:spacing w:after="0" w:line="191" w:lineRule="exact"/>
              <w:rPr>
                <w:sz w:val="20"/>
                <w:szCs w:val="20"/>
                <w:color w:val="auto"/>
              </w:rPr>
            </w:pPr>
            <w:r>
              <w:rPr>
                <w:rFonts w:ascii="Arial" w:cs="Arial" w:eastAsia="Arial" w:hAnsi="Arial"/>
                <w:sz w:val="18"/>
                <w:szCs w:val="18"/>
                <w:color w:val="auto"/>
              </w:rPr>
              <w:t>Weighted average number of shares outstanding—diluted</w:t>
            </w:r>
          </w:p>
        </w:tc>
        <w:tc>
          <w:tcPr>
            <w:tcW w:w="2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95,361,511</w:t>
            </w: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94,498,666</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94,380,452</w:t>
            </w: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94,924,080</w:t>
            </w:r>
          </w:p>
        </w:tc>
        <w:tc>
          <w:tcPr>
            <w:tcW w:w="0" w:type="dxa"/>
            <w:vAlign w:val="bottom"/>
          </w:tcPr>
          <w:p>
            <w:pPr>
              <w:spacing w:after="0"/>
              <w:rPr>
                <w:sz w:val="1"/>
                <w:szCs w:val="1"/>
                <w:color w:val="auto"/>
              </w:rPr>
            </w:pPr>
          </w:p>
        </w:tc>
      </w:tr>
      <w:tr>
        <w:trPr>
          <w:trHeight w:val="241"/>
        </w:trPr>
        <w:tc>
          <w:tcPr>
            <w:tcW w:w="5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(non-GAAP) (using treasury stock method)</w:t>
            </w: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w:t>
      </w:r>
    </w:p>
    <w:p>
      <w:pPr>
        <w:spacing w:after="0" w:line="69" w:lineRule="exact"/>
        <w:rPr>
          <w:sz w:val="20"/>
          <w:szCs w:val="20"/>
          <w:color w:val="auto"/>
        </w:rPr>
      </w:pPr>
    </w:p>
    <w:p>
      <w:pPr>
        <w:ind w:left="340" w:right="660" w:hanging="332"/>
        <w:spacing w:after="0" w:line="301"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Consists of transaction expenses related to M&amp;A, associated earn-outs, one-time public company transition expenses and ancillary non-recurring public company expenses and fees associated with financing transactions.</w:t>
      </w:r>
    </w:p>
    <w:p>
      <w:pPr>
        <w:spacing w:after="0" w:line="1" w:lineRule="exact"/>
        <w:rPr>
          <w:rFonts w:ascii="Arial" w:cs="Arial" w:eastAsia="Arial" w:hAnsi="Arial"/>
          <w:sz w:val="14"/>
          <w:szCs w:val="14"/>
          <w:color w:val="auto"/>
        </w:rPr>
      </w:pPr>
    </w:p>
    <w:p>
      <w:pPr>
        <w:ind w:left="340" w:right="140" w:hanging="332"/>
        <w:spacing w:after="0" w:line="269"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Consists of restructuring-related costs, including executive recruiting and severance charges, and lease termination costs and disposal of fixed assets related to our real estate consolidation efforts. Beginning in 2020, we began executing a virtual-first strategy, closing offices and reducing office space globally. In 2022, we began executing on a restructuring program to realign senior leadership and functions with the goal of elevating our go-to-market strategy and accelerating our technology and product innovation. At the end of 2022, we also launched Project Nucleus which we expect to drive meaningful cost savings and efficiency gains in our cost of revenues.</w:t>
      </w:r>
    </w:p>
    <w:p>
      <w:pPr>
        <w:spacing w:after="0" w:line="20" w:lineRule="exact"/>
        <w:rPr>
          <w:rFonts w:ascii="Arial" w:cs="Arial" w:eastAsia="Arial" w:hAnsi="Arial"/>
          <w:sz w:val="14"/>
          <w:szCs w:val="14"/>
          <w:color w:val="auto"/>
        </w:rPr>
      </w:pPr>
    </w:p>
    <w:p>
      <w:pPr>
        <w:ind w:left="340" w:hanging="332"/>
        <w:spacing w:after="0" w:line="265"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costs related to technology modernization, as well as costs related to decommissioning of on-premise production systems and redundant fulfillment systems of acquired companies and the migration to our platform. We believe that these costs are discrete and non-recurring in nature, as they relate to a one-time restructuring and decommissioning of our on-premise production systems and corporate technological infrastructure and the move to a managed service provider, decommissioning redundant fulfillment systems and modernizing internal functional systems. As such, they are not normal, recurring operating expenses and are not reflective of ongoing trends in the cost of doing business. The significant majority of these are related to the last two phases of Project Ignite, a three-phase strategic investment initiative launched in 2019 to create an enterprise-class global platform, with the remainder related to an investment made to modernize internal functional systems in preparation for our public company infrastructure. Phase two of Project Ignite was completed in 2022 and phase three of Project Ignite was completed in the first quarter of 2023.</w:t>
      </w:r>
    </w:p>
    <w:p>
      <w:pPr>
        <w:spacing w:after="0" w:line="11" w:lineRule="exact"/>
        <w:rPr>
          <w:rFonts w:ascii="Arial" w:cs="Arial" w:eastAsia="Arial" w:hAnsi="Arial"/>
          <w:sz w:val="14"/>
          <w:szCs w:val="14"/>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Consists of non-recurring settlements and the related legal fees impacting comparability.</w:t>
      </w:r>
    </w:p>
    <w:p>
      <w:pPr>
        <w:spacing w:after="0" w:line="68" w:lineRule="exact"/>
        <w:rPr>
          <w:rFonts w:ascii="Arial" w:cs="Arial" w:eastAsia="Arial" w:hAnsi="Arial"/>
          <w:sz w:val="14"/>
          <w:szCs w:val="14"/>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Consists of gains or losses on foreign currency transactions and impairment of capitalized software.</w:t>
      </w:r>
    </w:p>
    <w:p>
      <w:pPr>
        <w:spacing w:after="0" w:line="68" w:lineRule="exact"/>
        <w:rPr>
          <w:rFonts w:ascii="Arial" w:cs="Arial" w:eastAsia="Arial" w:hAnsi="Arial"/>
          <w:sz w:val="14"/>
          <w:szCs w:val="14"/>
          <w:color w:val="auto"/>
        </w:rPr>
      </w:pPr>
    </w:p>
    <w:p>
      <w:pPr>
        <w:ind w:left="340" w:right="40" w:hanging="332"/>
        <w:spacing w:after="0" w:line="266"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Normalized effective tax rates of 29.7% and 26.2% have been used to compute Adjusted Net Income for the three months ended June 30, 2024 and 2023, respectively. Normalized effective tax rates of 27.5% and 26.6% have been used to compute Adjusted Net Income for the six months ended June 30, 2024 and 2023, respectively. As of December 31, 2023, we had net operating loss carryforwards of approximately $15.7 million for federal income tax purposes and deferred tax assets of approximately $5.6 million related to state and foreign income tax loss carryforwards available to reduce future income subject to income taxes. The amount of actual cash taxes we pay for federal, state, and foreign income taxes differs significantly from the effective income tax rate computed in accordance with US GAAP, and from the normalized rate shown above.</w:t>
      </w:r>
    </w:p>
    <w:p>
      <w:pPr>
        <w:spacing w:after="0" w:line="40"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For further detail, see the footnotes to Part I. Item 2. “Management’s Discussion and Analysis of Financial Condition and Results of Operations—Non-GAAP Financial Measures” in our Quarterly Report on Form 10-Q for the quarterly period ended June 30, 2024.</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877" w:right="339" w:bottom="1440" w:gutter="0" w:footer="0" w:header="0"/>
        </w:sectPr>
      </w:pPr>
    </w:p>
    <w:bookmarkStart w:id="14" w:name="page15"/>
    <w:bookmarkEnd w:id="14"/>
    <w:p>
      <w:pPr>
        <w:spacing w:after="0" w:line="287" w:lineRule="auto"/>
        <w:rPr>
          <w:sz w:val="20"/>
          <w:szCs w:val="20"/>
          <w:color w:val="auto"/>
        </w:rPr>
      </w:pPr>
      <w:r>
        <w:rPr>
          <w:rFonts w:ascii="Arial" w:cs="Arial" w:eastAsia="Arial" w:hAnsi="Arial"/>
          <w:sz w:val="18"/>
          <w:szCs w:val="18"/>
          <w:color w:val="auto"/>
        </w:rPr>
        <w:t>The following table reconciles net cash flow provided by operations, the most directly comparable GAAP measure, to Free Cash Flow for the periods presented:</w:t>
      </w:r>
    </w:p>
    <w:p>
      <w:pPr>
        <w:spacing w:after="0" w:line="6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44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4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2024</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2024</w:t>
            </w:r>
          </w:p>
        </w:tc>
        <w:tc>
          <w:tcPr>
            <w:tcW w:w="860" w:type="dxa"/>
            <w:vAlign w:val="bottom"/>
            <w:tcBorders>
              <w:bottom w:val="single" w:sz="8" w:color="auto"/>
            </w:tcBorders>
          </w:tcPr>
          <w:p>
            <w:pPr>
              <w:spacing w:after="0"/>
              <w:rPr>
                <w:sz w:val="16"/>
                <w:szCs w:val="16"/>
                <w:color w:val="auto"/>
              </w:rPr>
            </w:pPr>
          </w:p>
        </w:tc>
      </w:tr>
      <w:tr>
        <w:trPr>
          <w:trHeight w:val="195"/>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2023</w:t>
            </w:r>
          </w:p>
        </w:tc>
      </w:tr>
      <w:tr>
        <w:trPr>
          <w:trHeight w:val="238"/>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operations</w:t>
            </w:r>
          </w:p>
        </w:tc>
        <w:tc>
          <w:tcPr>
            <w:tcW w:w="8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16,493</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20,167</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32,898</w:t>
            </w:r>
          </w:p>
        </w:tc>
      </w:tr>
      <w:tr>
        <w:trPr>
          <w:trHeight w:val="256"/>
        </w:trPr>
        <w:tc>
          <w:tcPr>
            <w:tcW w:w="4920" w:type="dxa"/>
            <w:vAlign w:val="bottom"/>
          </w:tcPr>
          <w:p>
            <w:pPr>
              <w:ind w:left="20"/>
              <w:spacing w:after="0"/>
              <w:rPr>
                <w:sz w:val="20"/>
                <w:szCs w:val="20"/>
                <w:color w:val="auto"/>
              </w:rPr>
            </w:pPr>
            <w:r>
              <w:rPr>
                <w:rFonts w:ascii="Arial" w:cs="Arial" w:eastAsia="Arial" w:hAnsi="Arial"/>
                <w:sz w:val="18"/>
                <w:szCs w:val="18"/>
                <w:color w:val="auto"/>
              </w:rPr>
              <w:t>Purchases of intangible assets and capitalized software</w:t>
            </w: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(5,408)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(4,469)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(10,355)</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(8,589)</w:t>
            </w:r>
          </w:p>
        </w:tc>
      </w:tr>
      <w:tr>
        <w:trPr>
          <w:trHeight w:val="257"/>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5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520" w:type="dxa"/>
            <w:vAlign w:val="bottom"/>
          </w:tcPr>
          <w:p>
            <w:pPr>
              <w:spacing w:after="0"/>
              <w:rPr>
                <w:sz w:val="19"/>
                <w:szCs w:val="19"/>
                <w:color w:val="auto"/>
              </w:rPr>
            </w:pPr>
          </w:p>
        </w:tc>
        <w:tc>
          <w:tcPr>
            <w:tcW w:w="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8,819</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23,716</w:t>
            </w:r>
          </w:p>
        </w:tc>
      </w:tr>
      <w:tr>
        <w:trPr>
          <w:trHeight w:val="20"/>
        </w:trPr>
        <w:tc>
          <w:tcPr>
            <w:tcW w:w="4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808"/>
        </w:trPr>
        <w:tc>
          <w:tcPr>
            <w:tcW w:w="4920" w:type="dxa"/>
            <w:vAlign w:val="bottom"/>
          </w:tcPr>
          <w:p>
            <w:pPr>
              <w:spacing w:after="0"/>
              <w:rPr>
                <w:sz w:val="24"/>
                <w:szCs w:val="24"/>
                <w:color w:val="auto"/>
              </w:rPr>
            </w:pPr>
          </w:p>
        </w:tc>
        <w:tc>
          <w:tcPr>
            <w:tcW w:w="86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12</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160"/>
      </w:cols>
      <w:pgMar w:left="320" w:top="87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3"/>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2024-08-08T06:29:27Z</dcterms:created>
  <dcterms:modified xsi:type="dcterms:W3CDTF">2024-08-08T06:29:27Z</dcterms:modified>
</cp:coreProperties>
</file>