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160"/>
        <w:spacing w:after="0"/>
        <w:rPr>
          <w:sz w:val="20"/>
          <w:szCs w:val="20"/>
          <w:color w:val="auto"/>
        </w:rPr>
      </w:pPr>
      <w:r>
        <w:rPr>
          <w:rFonts w:ascii="Arial" w:cs="Arial" w:eastAsia="Arial" w:hAnsi="Arial"/>
          <w:sz w:val="22"/>
          <w:szCs w:val="22"/>
          <w:color w:val="auto"/>
        </w:rPr>
        <w:t>___________________________</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22"/>
          <w:szCs w:val="22"/>
          <w:color w:val="auto"/>
        </w:rPr>
        <w:t>___________________________</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 to Section 13 or 15(d) of The Securities Exchange Act of 1934</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29, 2023</w:t>
      </w:r>
    </w:p>
    <w:p>
      <w:pPr>
        <w:spacing w:after="0" w:line="14" w:lineRule="exact"/>
        <w:rPr>
          <w:sz w:val="24"/>
          <w:szCs w:val="24"/>
          <w:color w:val="auto"/>
        </w:rPr>
      </w:pPr>
    </w:p>
    <w:p>
      <w:pPr>
        <w:ind w:left="4160"/>
        <w:spacing w:after="0"/>
        <w:rPr>
          <w:sz w:val="20"/>
          <w:szCs w:val="20"/>
          <w:color w:val="auto"/>
        </w:rPr>
      </w:pPr>
      <w:r>
        <w:rPr>
          <w:rFonts w:ascii="Arial" w:cs="Arial" w:eastAsia="Arial" w:hAnsi="Arial"/>
          <w:sz w:val="22"/>
          <w:szCs w:val="22"/>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149860</wp:posOffset>
            </wp:positionV>
            <wp:extent cx="129476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STERLING CHECK CORP.</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160"/>
        <w:spacing w:after="0"/>
        <w:rPr>
          <w:sz w:val="20"/>
          <w:szCs w:val="20"/>
          <w:color w:val="auto"/>
        </w:rPr>
      </w:pPr>
      <w:r>
        <w:rPr>
          <w:rFonts w:ascii="Arial" w:cs="Arial" w:eastAsia="Arial" w:hAnsi="Arial"/>
          <w:sz w:val="22"/>
          <w:szCs w:val="22"/>
          <w:color w:val="auto"/>
        </w:rPr>
        <w:t>___________________________</w:t>
      </w:r>
    </w:p>
    <w:p>
      <w:pPr>
        <w:spacing w:after="0" w:line="16"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3240" w:type="dxa"/>
            <w:vAlign w:val="bottom"/>
          </w:tcPr>
          <w:p>
            <w:pPr>
              <w:jc w:val="center"/>
              <w:ind w:right="444"/>
              <w:spacing w:after="0"/>
              <w:rPr>
                <w:sz w:val="20"/>
                <w:szCs w:val="20"/>
                <w:color w:val="auto"/>
              </w:rPr>
            </w:pPr>
            <w:r>
              <w:rPr>
                <w:rFonts w:ascii="Arial" w:cs="Arial" w:eastAsia="Arial" w:hAnsi="Arial"/>
                <w:sz w:val="18"/>
                <w:szCs w:val="18"/>
                <w:b w:val="1"/>
                <w:bCs w:val="1"/>
                <w:color w:val="auto"/>
                <w:w w:val="91"/>
              </w:rPr>
              <w:t>Delaware</w:t>
            </w:r>
          </w:p>
        </w:tc>
        <w:tc>
          <w:tcPr>
            <w:tcW w:w="1340" w:type="dxa"/>
            <w:vAlign w:val="bottom"/>
          </w:tcPr>
          <w:p>
            <w:pPr>
              <w:spacing w:after="0"/>
              <w:rPr>
                <w:sz w:val="20"/>
                <w:szCs w:val="20"/>
                <w:color w:val="auto"/>
              </w:rPr>
            </w:pPr>
          </w:p>
        </w:tc>
        <w:tc>
          <w:tcPr>
            <w:tcW w:w="2460" w:type="dxa"/>
            <w:vAlign w:val="bottom"/>
          </w:tcPr>
          <w:p>
            <w:pPr>
              <w:jc w:val="right"/>
              <w:ind w:right="1684"/>
              <w:spacing w:after="0"/>
              <w:rPr>
                <w:sz w:val="20"/>
                <w:szCs w:val="20"/>
                <w:color w:val="auto"/>
              </w:rPr>
            </w:pPr>
            <w:r>
              <w:rPr>
                <w:rFonts w:ascii="Arial" w:cs="Arial" w:eastAsia="Arial" w:hAnsi="Arial"/>
                <w:sz w:val="18"/>
                <w:szCs w:val="18"/>
                <w:b w:val="1"/>
                <w:bCs w:val="1"/>
                <w:color w:val="auto"/>
              </w:rPr>
              <w:t>1-40829</w:t>
            </w:r>
          </w:p>
        </w:tc>
        <w:tc>
          <w:tcPr>
            <w:tcW w:w="2120" w:type="dxa"/>
            <w:vAlign w:val="bottom"/>
          </w:tcPr>
          <w:p>
            <w:pPr>
              <w:jc w:val="right"/>
              <w:ind w:right="86"/>
              <w:spacing w:after="0"/>
              <w:rPr>
                <w:sz w:val="20"/>
                <w:szCs w:val="20"/>
                <w:color w:val="auto"/>
              </w:rPr>
            </w:pPr>
            <w:r>
              <w:rPr>
                <w:rFonts w:ascii="Arial" w:cs="Arial" w:eastAsia="Arial" w:hAnsi="Arial"/>
                <w:sz w:val="18"/>
                <w:szCs w:val="18"/>
                <w:b w:val="1"/>
                <w:bCs w:val="1"/>
                <w:color w:val="auto"/>
              </w:rPr>
              <w:t>37-1784336</w:t>
            </w:r>
          </w:p>
        </w:tc>
      </w:tr>
      <w:tr>
        <w:trPr>
          <w:trHeight w:val="180"/>
        </w:trPr>
        <w:tc>
          <w:tcPr>
            <w:tcW w:w="3240" w:type="dxa"/>
            <w:vAlign w:val="bottom"/>
          </w:tcPr>
          <w:p>
            <w:pPr>
              <w:jc w:val="center"/>
              <w:ind w:right="444"/>
              <w:spacing w:after="0"/>
              <w:rPr>
                <w:sz w:val="20"/>
                <w:szCs w:val="20"/>
                <w:color w:val="auto"/>
              </w:rPr>
            </w:pPr>
            <w:r>
              <w:rPr>
                <w:rFonts w:ascii="Arial" w:cs="Arial" w:eastAsia="Arial" w:hAnsi="Arial"/>
                <w:sz w:val="14"/>
                <w:szCs w:val="14"/>
                <w:b w:val="1"/>
                <w:bCs w:val="1"/>
                <w:color w:val="auto"/>
                <w:w w:val="93"/>
              </w:rPr>
              <w:t>(State or other jurisdiction of incorporation)</w:t>
            </w:r>
          </w:p>
        </w:tc>
        <w:tc>
          <w:tcPr>
            <w:tcW w:w="3800" w:type="dxa"/>
            <w:vAlign w:val="bottom"/>
            <w:gridSpan w:val="2"/>
          </w:tcPr>
          <w:p>
            <w:pPr>
              <w:jc w:val="center"/>
              <w:ind w:right="264"/>
              <w:spacing w:after="0"/>
              <w:rPr>
                <w:sz w:val="20"/>
                <w:szCs w:val="20"/>
                <w:color w:val="auto"/>
              </w:rPr>
            </w:pPr>
            <w:r>
              <w:rPr>
                <w:rFonts w:ascii="Arial" w:cs="Arial" w:eastAsia="Arial" w:hAnsi="Arial"/>
                <w:sz w:val="14"/>
                <w:szCs w:val="14"/>
                <w:b w:val="1"/>
                <w:bCs w:val="1"/>
                <w:color w:val="auto"/>
                <w:w w:val="93"/>
              </w:rPr>
              <w:t>(Commission File Number)</w:t>
            </w:r>
          </w:p>
        </w:tc>
        <w:tc>
          <w:tcPr>
            <w:tcW w:w="2120" w:type="dxa"/>
            <w:vAlign w:val="bottom"/>
          </w:tcPr>
          <w:p>
            <w:pPr>
              <w:ind w:left="1000"/>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3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120" w:type="dxa"/>
            <w:vAlign w:val="bottom"/>
          </w:tcPr>
          <w:p>
            <w:pPr>
              <w:ind w:left="1000"/>
              <w:spacing w:after="0"/>
              <w:rPr>
                <w:sz w:val="20"/>
                <w:szCs w:val="20"/>
                <w:color w:val="auto"/>
              </w:rPr>
            </w:pPr>
            <w:r>
              <w:rPr>
                <w:rFonts w:ascii="Arial" w:cs="Arial" w:eastAsia="Arial" w:hAnsi="Arial"/>
                <w:sz w:val="14"/>
                <w:szCs w:val="14"/>
                <w:b w:val="1"/>
                <w:bCs w:val="1"/>
                <w:color w:val="auto"/>
                <w:w w:val="92"/>
              </w:rPr>
              <w:t>Identification No.)</w:t>
            </w:r>
          </w:p>
        </w:tc>
      </w:tr>
      <w:tr>
        <w:trPr>
          <w:trHeight w:val="216"/>
        </w:trPr>
        <w:tc>
          <w:tcPr>
            <w:tcW w:w="3240" w:type="dxa"/>
            <w:vAlign w:val="bottom"/>
          </w:tcPr>
          <w:p>
            <w:pPr>
              <w:jc w:val="center"/>
              <w:ind w:right="444"/>
              <w:spacing w:after="0"/>
              <w:rPr>
                <w:sz w:val="20"/>
                <w:szCs w:val="20"/>
                <w:color w:val="auto"/>
              </w:rPr>
            </w:pPr>
            <w:r>
              <w:rPr>
                <w:rFonts w:ascii="Arial" w:cs="Arial" w:eastAsia="Arial" w:hAnsi="Arial"/>
                <w:sz w:val="14"/>
                <w:szCs w:val="14"/>
                <w:b w:val="1"/>
                <w:bCs w:val="1"/>
                <w:color w:val="auto"/>
                <w:w w:val="92"/>
              </w:rPr>
              <w:t>6150 Oak Tree Boulevard, Suite 490</w:t>
            </w:r>
          </w:p>
        </w:tc>
        <w:tc>
          <w:tcPr>
            <w:tcW w:w="1340" w:type="dxa"/>
            <w:vAlign w:val="bottom"/>
          </w:tcPr>
          <w:p>
            <w:pPr>
              <w:ind w:left="520"/>
              <w:spacing w:after="0"/>
              <w:rPr>
                <w:sz w:val="20"/>
                <w:szCs w:val="20"/>
                <w:color w:val="auto"/>
              </w:rPr>
            </w:pPr>
            <w:r>
              <w:rPr>
                <w:rFonts w:ascii="Arial" w:cs="Arial" w:eastAsia="Arial" w:hAnsi="Arial"/>
                <w:sz w:val="13"/>
                <w:szCs w:val="13"/>
                <w:b w:val="1"/>
                <w:bCs w:val="1"/>
                <w:color w:val="auto"/>
                <w:w w:val="91"/>
              </w:rPr>
              <w:t>Independence</w:t>
            </w:r>
          </w:p>
        </w:tc>
        <w:tc>
          <w:tcPr>
            <w:tcW w:w="2460" w:type="dxa"/>
            <w:vAlign w:val="bottom"/>
          </w:tcPr>
          <w:p>
            <w:pPr>
              <w:ind w:left="1220"/>
              <w:spacing w:after="0"/>
              <w:rPr>
                <w:sz w:val="20"/>
                <w:szCs w:val="20"/>
                <w:color w:val="auto"/>
              </w:rPr>
            </w:pPr>
            <w:r>
              <w:rPr>
                <w:rFonts w:ascii="Arial" w:cs="Arial" w:eastAsia="Arial" w:hAnsi="Arial"/>
                <w:sz w:val="13"/>
                <w:szCs w:val="13"/>
                <w:b w:val="1"/>
                <w:bCs w:val="1"/>
                <w:color w:val="auto"/>
              </w:rPr>
              <w:t>Ohio</w:t>
            </w:r>
          </w:p>
        </w:tc>
        <w:tc>
          <w:tcPr>
            <w:tcW w:w="2120" w:type="dxa"/>
            <w:vAlign w:val="bottom"/>
          </w:tcPr>
          <w:p>
            <w:pPr>
              <w:jc w:val="right"/>
              <w:ind w:right="366"/>
              <w:spacing w:after="0"/>
              <w:rPr>
                <w:sz w:val="20"/>
                <w:szCs w:val="20"/>
                <w:color w:val="auto"/>
              </w:rPr>
            </w:pPr>
            <w:r>
              <w:rPr>
                <w:rFonts w:ascii="Arial" w:cs="Arial" w:eastAsia="Arial" w:hAnsi="Arial"/>
                <w:sz w:val="13"/>
                <w:szCs w:val="13"/>
                <w:b w:val="1"/>
                <w:bCs w:val="1"/>
                <w:color w:val="auto"/>
              </w:rPr>
              <w:t>44131</w:t>
            </w:r>
          </w:p>
        </w:tc>
      </w:tr>
      <w:tr>
        <w:trPr>
          <w:trHeight w:val="216"/>
        </w:trPr>
        <w:tc>
          <w:tcPr>
            <w:tcW w:w="3240" w:type="dxa"/>
            <w:vAlign w:val="bottom"/>
          </w:tcPr>
          <w:p>
            <w:pPr>
              <w:jc w:val="center"/>
              <w:ind w:right="42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120" w:type="dxa"/>
            <w:vAlign w:val="bottom"/>
          </w:tcPr>
          <w:p>
            <w:pPr>
              <w:ind w:left="1220"/>
              <w:spacing w:after="0"/>
              <w:rPr>
                <w:sz w:val="20"/>
                <w:szCs w:val="20"/>
                <w:color w:val="auto"/>
              </w:rPr>
            </w:pPr>
            <w:r>
              <w:rPr>
                <w:rFonts w:ascii="Arial" w:cs="Arial" w:eastAsia="Arial" w:hAnsi="Arial"/>
                <w:sz w:val="14"/>
                <w:szCs w:val="14"/>
                <w:b w:val="1"/>
                <w:bCs w:val="1"/>
                <w:color w:val="auto"/>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1 (800) 853-3228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4" w:lineRule="exact"/>
        <w:rPr>
          <w:sz w:val="24"/>
          <w:szCs w:val="24"/>
          <w:color w:val="auto"/>
        </w:rPr>
      </w:pPr>
    </w:p>
    <w:p>
      <w:pPr>
        <w:ind w:left="4160"/>
        <w:spacing w:after="0"/>
        <w:rPr>
          <w:sz w:val="20"/>
          <w:szCs w:val="20"/>
          <w:color w:val="auto"/>
        </w:rPr>
      </w:pPr>
      <w:r>
        <w:rPr>
          <w:rFonts w:ascii="Arial" w:cs="Arial" w:eastAsia="Arial" w:hAnsi="Arial"/>
          <w:sz w:val="22"/>
          <w:szCs w:val="22"/>
          <w:color w:val="auto"/>
        </w:rPr>
        <w:t>___________________________</w:t>
      </w:r>
    </w:p>
    <w:p>
      <w:pPr>
        <w:spacing w:after="0" w:line="209" w:lineRule="exact"/>
        <w:rPr>
          <w:sz w:val="24"/>
          <w:szCs w:val="24"/>
          <w:color w:val="auto"/>
        </w:rPr>
      </w:pPr>
    </w:p>
    <w:p>
      <w:pPr>
        <w:ind w:right="680"/>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5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256"/>
        </w:trPr>
        <w:tc>
          <w:tcPr>
            <w:tcW w:w="4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Title of each class</w:t>
            </w:r>
          </w:p>
        </w:tc>
        <w:tc>
          <w:tcPr>
            <w:tcW w:w="1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Trading Symbol(s)</w:t>
            </w:r>
          </w:p>
        </w:tc>
        <w:tc>
          <w:tcPr>
            <w:tcW w:w="100" w:type="dxa"/>
            <w:vAlign w:val="bottom"/>
          </w:tcPr>
          <w:p>
            <w:pPr>
              <w:spacing w:after="0"/>
              <w:rPr>
                <w:sz w:val="22"/>
                <w:szCs w:val="22"/>
                <w:color w:val="auto"/>
              </w:rPr>
            </w:pP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24"/>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STER</w:t>
            </w:r>
          </w:p>
        </w:tc>
        <w:tc>
          <w:tcPr>
            <w:tcW w:w="100" w:type="dxa"/>
            <w:vAlign w:val="bottom"/>
          </w:tcPr>
          <w:p>
            <w:pPr>
              <w:spacing w:after="0"/>
              <w:rPr>
                <w:sz w:val="19"/>
                <w:szCs w:val="19"/>
                <w:color w:val="auto"/>
              </w:rPr>
            </w:pPr>
          </w:p>
        </w:tc>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6" w:lineRule="exact"/>
        <w:rPr>
          <w:sz w:val="24"/>
          <w:szCs w:val="24"/>
          <w:color w:val="auto"/>
        </w:rPr>
      </w:pPr>
    </w:p>
    <w:p>
      <w:pPr>
        <w:ind w:right="520"/>
        <w:spacing w:after="0" w:line="24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11" w:lineRule="exact"/>
        <w:rPr>
          <w:sz w:val="20"/>
          <w:szCs w:val="20"/>
          <w:color w:val="auto"/>
        </w:rPr>
      </w:pPr>
    </w:p>
    <w:p>
      <w:pPr>
        <w:spacing w:after="0" w:line="25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5" w:lineRule="exact"/>
        <w:rPr>
          <w:sz w:val="20"/>
          <w:szCs w:val="20"/>
          <w:color w:val="auto"/>
        </w:rPr>
      </w:pPr>
    </w:p>
    <w:p>
      <w:pPr>
        <w:jc w:val="both"/>
        <w:ind w:left="260" w:right="280" w:hanging="242"/>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right="260" w:firstLine="648"/>
        <w:spacing w:after="0" w:line="262" w:lineRule="auto"/>
        <w:rPr>
          <w:sz w:val="20"/>
          <w:szCs w:val="20"/>
          <w:color w:val="auto"/>
        </w:rPr>
      </w:pPr>
      <w:r>
        <w:rPr>
          <w:rFonts w:ascii="Arial" w:cs="Arial" w:eastAsia="Arial" w:hAnsi="Arial"/>
          <w:sz w:val="17"/>
          <w:szCs w:val="17"/>
          <w:color w:val="auto"/>
        </w:rPr>
        <w:t>On June 29, 2023, on recommendation from the Nominating &amp; Corporate Governance Committee, the Board of Directors of the Company (the “Board”) elected Ms. Kristin Johnsen as a Class II director to serve for a three-year term until the Company’s 2026 Annual Meeting of Stockholders and until her successor has been duly elected and qualified, or until the earlier of her death, resignation, retirement, disqualification or removal. Ms. Johnsen was further elected to serve on the Audit Committee and the Nominating &amp; Corporate Governance Committee.</w:t>
      </w:r>
    </w:p>
    <w:p>
      <w:pPr>
        <w:spacing w:after="0" w:line="199"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Board affirmatively determined that Ms. Johnsen is independent under the applicable standards of the Nasdaq Stock Market LLC and the Securities and Exchange Commission. As an independent non-employee director, Ms. Johnsen will receive compensation in accordance with the Company’s Non-Employee Director Compensation Policy attached as Exhibit 10.2 to the Company’s Current Report on Form 8-K filed on September 27, 2021. Ms. Johnsen also entered into the Company’s standard indemnification agreement for directors. Ms. Johnsen has no direct or indirect material interest in any transactions that would require disclosure under item 404(a) of Regulation S-K. Ms. Johnsen has no arrangements or understandings with any other person pursuant to which she was selected as a director.</w:t>
      </w:r>
    </w:p>
    <w:p>
      <w:pPr>
        <w:spacing w:after="0" w:line="218" w:lineRule="exact"/>
        <w:rPr>
          <w:sz w:val="20"/>
          <w:szCs w:val="20"/>
          <w:color w:val="auto"/>
        </w:rPr>
      </w:pPr>
    </w:p>
    <w:p>
      <w:pPr>
        <w:ind w:right="940" w:firstLine="648"/>
        <w:spacing w:after="0" w:line="261" w:lineRule="auto"/>
        <w:rPr>
          <w:sz w:val="20"/>
          <w:szCs w:val="20"/>
          <w:color w:val="auto"/>
        </w:rPr>
      </w:pPr>
      <w:r>
        <w:rPr>
          <w:rFonts w:ascii="Arial" w:cs="Arial" w:eastAsia="Arial" w:hAnsi="Arial"/>
          <w:sz w:val="18"/>
          <w:szCs w:val="18"/>
          <w:color w:val="auto"/>
        </w:rPr>
        <w:t>A copy of the press release, dated June 29, 2023, announcing the appointment of Ms. Johnsen is attached hereto as Exhibit 99.1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880" w:type="dxa"/>
            <w:vAlign w:val="bottom"/>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7560" w:type="dxa"/>
            <w:vAlign w:val="bottom"/>
            <w:gridSpan w:val="2"/>
          </w:tcPr>
          <w:p>
            <w:pPr>
              <w:spacing w:after="0"/>
              <w:rPr>
                <w:sz w:val="18"/>
                <w:szCs w:val="18"/>
                <w:color w:val="auto"/>
              </w:rPr>
            </w:pPr>
          </w:p>
        </w:tc>
      </w:tr>
      <w:tr>
        <w:trPr>
          <w:trHeight w:val="236"/>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99.1</w:t>
            </w:r>
          </w:p>
        </w:tc>
        <w:tc>
          <w:tcPr>
            <w:tcW w:w="1880" w:type="dxa"/>
            <w:vAlign w:val="bottom"/>
          </w:tcPr>
          <w:p>
            <w:pPr>
              <w:spacing w:after="0"/>
              <w:rPr>
                <w:sz w:val="20"/>
                <w:szCs w:val="20"/>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0000FF"/>
              </w:rPr>
              <w:t>Press Release of Sterling Check Corp., dated June 29, 2023.</w:t>
            </w:r>
          </w:p>
        </w:tc>
      </w:tr>
      <w:tr>
        <w:trPr>
          <w:trHeight w:val="20"/>
        </w:trPr>
        <w:tc>
          <w:tcPr>
            <w:tcW w:w="9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77"/>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880" w:type="dxa"/>
            <w:vAlign w:val="bottom"/>
          </w:tcPr>
          <w:p>
            <w:pPr>
              <w:spacing w:after="0"/>
              <w:rPr>
                <w:sz w:val="24"/>
                <w:szCs w:val="24"/>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924"/>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STERLING CHECK CORP.</w:t>
            </w:r>
          </w:p>
        </w:tc>
        <w:tc>
          <w:tcPr>
            <w:tcW w:w="0" w:type="dxa"/>
            <w:vAlign w:val="bottom"/>
          </w:tcPr>
          <w:p>
            <w:pPr>
              <w:spacing w:after="0"/>
              <w:rPr>
                <w:sz w:val="1"/>
                <w:szCs w:val="1"/>
                <w:color w:val="auto"/>
              </w:rPr>
            </w:pPr>
          </w:p>
        </w:tc>
      </w:tr>
      <w:tr>
        <w:trPr>
          <w:trHeight w:val="770"/>
        </w:trPr>
        <w:tc>
          <w:tcPr>
            <w:tcW w:w="2540" w:type="dxa"/>
            <w:vAlign w:val="bottom"/>
          </w:tcPr>
          <w:p>
            <w:pPr>
              <w:spacing w:after="0"/>
              <w:rPr>
                <w:sz w:val="20"/>
                <w:szCs w:val="20"/>
                <w:color w:val="auto"/>
              </w:rPr>
            </w:pPr>
            <w:r>
              <w:rPr>
                <w:rFonts w:ascii="Arial" w:cs="Arial" w:eastAsia="Arial" w:hAnsi="Arial"/>
                <w:sz w:val="18"/>
                <w:szCs w:val="18"/>
                <w:color w:val="auto"/>
              </w:rPr>
              <w:t>June 29, 2023</w:t>
            </w:r>
          </w:p>
        </w:tc>
        <w:tc>
          <w:tcPr>
            <w:tcW w:w="2780" w:type="dxa"/>
            <w:vAlign w:val="bottom"/>
          </w:tcPr>
          <w:p>
            <w:pPr>
              <w:ind w:left="1520"/>
              <w:spacing w:after="0"/>
              <w:rPr>
                <w:sz w:val="20"/>
                <w:szCs w:val="20"/>
                <w:color w:val="auto"/>
              </w:rPr>
            </w:pPr>
            <w:r>
              <w:rPr>
                <w:rFonts w:ascii="Arial" w:cs="Arial" w:eastAsia="Arial" w:hAnsi="Arial"/>
                <w:sz w:val="18"/>
                <w:szCs w:val="18"/>
                <w:color w:val="auto"/>
              </w:rPr>
              <w:t>By:</w:t>
            </w:r>
          </w:p>
        </w:tc>
        <w:tc>
          <w:tcPr>
            <w:tcW w:w="5900" w:type="dxa"/>
            <w:vAlign w:val="bottom"/>
          </w:tcPr>
          <w:p>
            <w:pPr>
              <w:ind w:left="20"/>
              <w:spacing w:after="0"/>
              <w:rPr>
                <w:sz w:val="20"/>
                <w:szCs w:val="20"/>
                <w:color w:val="auto"/>
              </w:rPr>
            </w:pPr>
            <w:r>
              <w:rPr>
                <w:rFonts w:ascii="Arial" w:cs="Arial" w:eastAsia="Arial" w:hAnsi="Arial"/>
                <w:sz w:val="18"/>
                <w:szCs w:val="18"/>
                <w:color w:val="auto"/>
              </w:rPr>
              <w:t>/s/ Steven Barnett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780" w:type="dxa"/>
            <w:vAlign w:val="bottom"/>
            <w:vMerge w:val="restart"/>
          </w:tcPr>
          <w:p>
            <w:pPr>
              <w:ind w:left="1520"/>
              <w:spacing w:after="0"/>
              <w:rPr>
                <w:sz w:val="20"/>
                <w:szCs w:val="20"/>
                <w:color w:val="auto"/>
              </w:rPr>
            </w:pPr>
            <w:r>
              <w:rPr>
                <w:rFonts w:ascii="Arial" w:cs="Arial" w:eastAsia="Arial" w:hAnsi="Arial"/>
                <w:sz w:val="18"/>
                <w:szCs w:val="18"/>
                <w:color w:val="auto"/>
              </w:rPr>
              <w:t>Name:</w:t>
            </w:r>
          </w:p>
        </w:tc>
        <w:tc>
          <w:tcPr>
            <w:tcW w:w="5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540" w:type="dxa"/>
            <w:vAlign w:val="bottom"/>
          </w:tcPr>
          <w:p>
            <w:pPr>
              <w:spacing w:after="0"/>
              <w:rPr>
                <w:sz w:val="19"/>
                <w:szCs w:val="19"/>
                <w:color w:val="auto"/>
              </w:rPr>
            </w:pPr>
          </w:p>
        </w:tc>
        <w:tc>
          <w:tcPr>
            <w:tcW w:w="2780" w:type="dxa"/>
            <w:vAlign w:val="bottom"/>
            <w:vMerge w:val="continue"/>
          </w:tcPr>
          <w:p>
            <w:pPr>
              <w:spacing w:after="0"/>
              <w:rPr>
                <w:sz w:val="19"/>
                <w:szCs w:val="19"/>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Steven Barnett</w:t>
            </w: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2"/>
                <w:szCs w:val="22"/>
                <w:color w:val="auto"/>
              </w:rPr>
            </w:pPr>
          </w:p>
        </w:tc>
        <w:tc>
          <w:tcPr>
            <w:tcW w:w="2780" w:type="dxa"/>
            <w:vAlign w:val="bottom"/>
          </w:tcPr>
          <w:p>
            <w:pPr>
              <w:ind w:left="1520"/>
              <w:spacing w:after="0"/>
              <w:rPr>
                <w:sz w:val="20"/>
                <w:szCs w:val="20"/>
                <w:color w:val="auto"/>
              </w:rPr>
            </w:pPr>
            <w:r>
              <w:rPr>
                <w:rFonts w:ascii="Arial" w:cs="Arial" w:eastAsia="Arial" w:hAnsi="Arial"/>
                <w:sz w:val="18"/>
                <w:szCs w:val="18"/>
                <w:color w:val="auto"/>
              </w:rPr>
              <w:t>Title:</w:t>
            </w:r>
          </w:p>
        </w:tc>
        <w:tc>
          <w:tcPr>
            <w:tcW w:w="5900" w:type="dxa"/>
            <w:vAlign w:val="bottom"/>
          </w:tcPr>
          <w:p>
            <w:pPr>
              <w:ind w:left="20"/>
              <w:spacing w:after="0"/>
              <w:rPr>
                <w:sz w:val="20"/>
                <w:szCs w:val="20"/>
                <w:color w:val="auto"/>
              </w:rPr>
            </w:pPr>
            <w:r>
              <w:rPr>
                <w:rFonts w:ascii="Arial" w:cs="Arial" w:eastAsia="Arial" w:hAnsi="Arial"/>
                <w:sz w:val="18"/>
                <w:szCs w:val="18"/>
                <w:color w:val="auto"/>
              </w:rPr>
              <w:t>Executive Vice President, Secretary and</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Chief Legal &amp; Risk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723390"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23390" cy="4800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Sterling Appoints Independent Director Kristn Johnsen to its Board of Directors</w:t>
      </w:r>
    </w:p>
    <w:p>
      <w:pPr>
        <w:spacing w:after="0" w:line="208" w:lineRule="exact"/>
        <w:rPr>
          <w:sz w:val="20"/>
          <w:szCs w:val="20"/>
          <w:color w:val="auto"/>
        </w:rPr>
      </w:pPr>
    </w:p>
    <w:p>
      <w:pPr>
        <w:jc w:val="center"/>
        <w:spacing w:after="0" w:line="231" w:lineRule="auto"/>
        <w:rPr>
          <w:sz w:val="20"/>
          <w:szCs w:val="20"/>
          <w:color w:val="auto"/>
        </w:rPr>
      </w:pPr>
      <w:r>
        <w:rPr>
          <w:rFonts w:ascii="Arial" w:cs="Arial" w:eastAsia="Arial" w:hAnsi="Arial"/>
          <w:sz w:val="22"/>
          <w:szCs w:val="22"/>
          <w:i w:val="1"/>
          <w:iCs w:val="1"/>
          <w:color w:val="auto"/>
        </w:rPr>
        <w:t>Global Business Leader to Serve as a Member of the Board, Audit Commitee and Nominatng &amp; Corporate Governance Commitee</w:t>
      </w:r>
    </w:p>
    <w:p>
      <w:pPr>
        <w:spacing w:after="0" w:line="186" w:lineRule="exact"/>
        <w:rPr>
          <w:sz w:val="20"/>
          <w:szCs w:val="20"/>
          <w:color w:val="auto"/>
        </w:rPr>
      </w:pPr>
    </w:p>
    <w:p>
      <w:pPr>
        <w:ind w:left="20" w:right="80" w:hanging="8"/>
        <w:spacing w:after="0" w:line="218" w:lineRule="auto"/>
        <w:rPr>
          <w:sz w:val="20"/>
          <w:szCs w:val="20"/>
          <w:color w:val="auto"/>
        </w:rPr>
      </w:pPr>
      <w:r>
        <w:rPr>
          <w:rFonts w:ascii="Arial" w:cs="Arial" w:eastAsia="Arial" w:hAnsi="Arial"/>
          <w:sz w:val="22"/>
          <w:szCs w:val="22"/>
          <w:b w:val="1"/>
          <w:bCs w:val="1"/>
          <w:color w:val="auto"/>
        </w:rPr>
        <w:t xml:space="preserve">INDEPENDENCE, OH (JUNE 29, 2023) </w:t>
      </w:r>
      <w:r>
        <w:rPr>
          <w:rFonts w:ascii="Arial" w:cs="Arial" w:eastAsia="Arial" w:hAnsi="Arial"/>
          <w:sz w:val="22"/>
          <w:szCs w:val="22"/>
          <w:color w:val="auto"/>
        </w:rPr>
        <w:t>— Sterling Check Corp. (NASDAQ: STER) (“Sterling”), a leading provider of identty and</w:t>
      </w:r>
      <w:r>
        <w:rPr>
          <w:rFonts w:ascii="Arial" w:cs="Arial" w:eastAsia="Arial" w:hAnsi="Arial"/>
          <w:sz w:val="22"/>
          <w:szCs w:val="22"/>
          <w:b w:val="1"/>
          <w:bCs w:val="1"/>
          <w:color w:val="auto"/>
        </w:rPr>
        <w:t xml:space="preserve"> </w:t>
      </w:r>
      <w:r>
        <w:rPr>
          <w:rFonts w:ascii="Arial" w:cs="Arial" w:eastAsia="Arial" w:hAnsi="Arial"/>
          <w:sz w:val="22"/>
          <w:szCs w:val="22"/>
          <w:color w:val="auto"/>
        </w:rPr>
        <w:t>background services, today appointed global business leader, Kristn Johnsen, to the Sterling Board of Directors. In this capacity, she will serve as an independent Director of the Board, and a member of the Audit Commitee and Nominatng &amp; Corporate Governance Commitee.</w:t>
      </w:r>
    </w:p>
    <w:p>
      <w:pPr>
        <w:spacing w:after="0" w:line="190" w:lineRule="exact"/>
        <w:rPr>
          <w:sz w:val="20"/>
          <w:szCs w:val="20"/>
          <w:color w:val="auto"/>
        </w:rPr>
      </w:pPr>
    </w:p>
    <w:p>
      <w:pPr>
        <w:ind w:left="20" w:right="120" w:hanging="8"/>
        <w:spacing w:after="0" w:line="222" w:lineRule="auto"/>
        <w:rPr>
          <w:sz w:val="20"/>
          <w:szCs w:val="20"/>
          <w:color w:val="auto"/>
        </w:rPr>
      </w:pPr>
      <w:r>
        <w:rPr>
          <w:rFonts w:ascii="Arial" w:cs="Arial" w:eastAsia="Arial" w:hAnsi="Arial"/>
          <w:sz w:val="22"/>
          <w:szCs w:val="22"/>
          <w:color w:val="auto"/>
        </w:rPr>
        <w:t>“The background and identty screening space is evolving, presentng new opportunites and unique challenges,” shared Johnsen. “I’m thrilled to work alongside the Sterling team to unlock areas of transformaton for the business and drive strategic growth.”</w:t>
      </w:r>
    </w:p>
    <w:p>
      <w:pPr>
        <w:spacing w:after="0" w:line="189" w:lineRule="exact"/>
        <w:rPr>
          <w:sz w:val="20"/>
          <w:szCs w:val="20"/>
          <w:color w:val="auto"/>
        </w:rPr>
      </w:pPr>
    </w:p>
    <w:p>
      <w:pPr>
        <w:ind w:left="20" w:hanging="8"/>
        <w:spacing w:after="0" w:line="251" w:lineRule="auto"/>
        <w:rPr>
          <w:sz w:val="20"/>
          <w:szCs w:val="20"/>
          <w:color w:val="auto"/>
        </w:rPr>
      </w:pPr>
      <w:r>
        <w:rPr>
          <w:rFonts w:ascii="Arial" w:cs="Arial" w:eastAsia="Arial" w:hAnsi="Arial"/>
          <w:sz w:val="19"/>
          <w:szCs w:val="19"/>
          <w:color w:val="auto"/>
        </w:rPr>
        <w:t>Johnsen brings more than 30 years of experience in running mult-billion-dollar businesses, setng business and product line strategies and driving digital transformaton programs of change. With positons at industry-recognized companies like Microsof and McKinsey &amp; Company to digital start-ups, she has successfully grown billion-dollar products, executed strategic mergers and acquisitons, and led divisional turnarounds. She now serves on fve company boards – Sterling, Parexel, Tango Analytcs, FoodChainID, and Access Informaton Management – supportng the growth and transformaton goals of each organizaton.</w:t>
      </w:r>
    </w:p>
    <w:p>
      <w:pPr>
        <w:spacing w:after="0" w:line="180" w:lineRule="exact"/>
        <w:rPr>
          <w:sz w:val="20"/>
          <w:szCs w:val="20"/>
          <w:color w:val="auto"/>
        </w:rPr>
      </w:pPr>
    </w:p>
    <w:p>
      <w:pPr>
        <w:ind w:left="20" w:right="200" w:hanging="8"/>
        <w:spacing w:after="0" w:line="222" w:lineRule="auto"/>
        <w:rPr>
          <w:sz w:val="20"/>
          <w:szCs w:val="20"/>
          <w:color w:val="auto"/>
        </w:rPr>
      </w:pPr>
      <w:r>
        <w:rPr>
          <w:rFonts w:ascii="Arial" w:cs="Arial" w:eastAsia="Arial" w:hAnsi="Arial"/>
          <w:sz w:val="22"/>
          <w:szCs w:val="22"/>
          <w:color w:val="auto"/>
        </w:rPr>
        <w:t>“I am delighted to welcome Kristn to Sterling’s Board of Directors and expand our Board’s compositon and skillset,” said Mike Grebe, Chair of the Sterling Board of Directors. “Kristn’s experience across various industries and demonstrated background make her an excellent additon.”</w:t>
      </w:r>
    </w:p>
    <w:p>
      <w:pPr>
        <w:spacing w:after="0" w:line="2" w:lineRule="exact"/>
        <w:rPr>
          <w:sz w:val="20"/>
          <w:szCs w:val="20"/>
          <w:color w:val="auto"/>
        </w:rPr>
      </w:pPr>
    </w:p>
    <w:p>
      <w:pPr>
        <w:ind w:left="20" w:right="260" w:hanging="8"/>
        <w:spacing w:after="0" w:line="204" w:lineRule="auto"/>
        <w:rPr>
          <w:sz w:val="20"/>
          <w:szCs w:val="20"/>
          <w:color w:val="auto"/>
        </w:rPr>
      </w:pPr>
      <w:r>
        <w:rPr>
          <w:rFonts w:ascii="Arial" w:cs="Arial" w:eastAsia="Arial" w:hAnsi="Arial"/>
          <w:sz w:val="22"/>
          <w:szCs w:val="22"/>
          <w:color w:val="auto"/>
        </w:rPr>
        <w:t>“Kristn brings tremendous value and expertse to our organizaton,” said Josh Peirez, CEO of sterling. “I am looking forward to partnering with her on contnuing to drive Sterling’s growth.”</w:t>
      </w:r>
    </w:p>
    <w:p>
      <w:pPr>
        <w:spacing w:after="0" w:line="162" w:lineRule="exact"/>
        <w:rPr>
          <w:sz w:val="20"/>
          <w:szCs w:val="20"/>
          <w:color w:val="auto"/>
        </w:rPr>
      </w:pPr>
    </w:p>
    <w:p>
      <w:pPr>
        <w:ind w:left="20" w:right="60" w:hanging="8"/>
        <w:spacing w:after="0" w:line="228" w:lineRule="auto"/>
        <w:rPr>
          <w:sz w:val="20"/>
          <w:szCs w:val="20"/>
          <w:color w:val="auto"/>
        </w:rPr>
      </w:pPr>
      <w:r>
        <w:rPr>
          <w:rFonts w:ascii="Arial" w:cs="Arial" w:eastAsia="Arial" w:hAnsi="Arial"/>
          <w:sz w:val="21"/>
          <w:szCs w:val="21"/>
          <w:color w:val="auto"/>
        </w:rPr>
        <w:t>Outside of work, Johnsen supports key public insttutons and non-profts including UC Berkeley’s College of Engineering Advisory Board and Opportunity@Work. She holds a Master of Science degree in Management Studies, with Distncton, from J. L. Kellogg Graduate School of Management, Northwestern University, and earned a Bachelor of Science degree in Industrial Engineering &amp; Operatons Research from the University of California Berkeley.</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To learn more about Sterling, visit SterlingCheck.com.</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Sterling</w:t>
      </w:r>
    </w:p>
    <w:p>
      <w:pPr>
        <w:spacing w:after="0" w:line="25" w:lineRule="exact"/>
        <w:rPr>
          <w:sz w:val="20"/>
          <w:szCs w:val="20"/>
          <w:color w:val="auto"/>
        </w:rPr>
      </w:pPr>
    </w:p>
    <w:p>
      <w:pPr>
        <w:ind w:right="20" w:hanging="8"/>
        <w:spacing w:after="0" w:line="302" w:lineRule="auto"/>
        <w:rPr>
          <w:sz w:val="20"/>
          <w:szCs w:val="20"/>
          <w:color w:val="auto"/>
        </w:rPr>
      </w:pPr>
      <w:r>
        <w:rPr>
          <w:rFonts w:ascii="Arial" w:cs="Arial" w:eastAsia="Arial" w:hAnsi="Arial"/>
          <w:sz w:val="19"/>
          <w:szCs w:val="19"/>
          <w:color w:val="auto"/>
        </w:rPr>
        <w:t>Sterling (NASDAQ: STER) — a leading provider of background and identty services — ofers background and identty verifcaton to help over 50,000 clients create people-frst cultures built on a foundaton of trust and safety. Sterling’s tech-enabled services help organizatons across all industries establish great environments for their workers, partners, and customers. With operatons around the world, Sterling conducted more than 110 million searches in the twelve months ending December 31, 2022. Visit us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 </w:t>
      </w:r>
      <w:r>
        <w:rPr>
          <w:rFonts w:ascii="Arial" w:cs="Arial" w:eastAsia="Arial" w:hAnsi="Arial"/>
          <w:sz w:val="22"/>
          <w:szCs w:val="22"/>
          <w:u w:val="single" w:color="auto"/>
          <w:color w:val="0563C1"/>
        </w:rPr>
        <w:t>www.sterlingcheck.com</w:t>
      </w:r>
      <w:r>
        <w:rPr>
          <w:rFonts w:ascii="Arial" w:cs="Arial" w:eastAsia="Arial" w:hAnsi="Arial"/>
          <w:sz w:val="22"/>
          <w:szCs w:val="22"/>
          <w:color w:val="auto"/>
        </w:rPr>
        <w: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 of 2</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Contact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Jodi Perkins | </w:t>
      </w:r>
      <w:r>
        <w:rPr>
          <w:rFonts w:ascii="Arial" w:cs="Arial" w:eastAsia="Arial" w:hAnsi="Arial"/>
          <w:sz w:val="22"/>
          <w:szCs w:val="22"/>
          <w:u w:val="single" w:color="auto"/>
          <w:color w:val="0563C1"/>
        </w:rPr>
        <w:t>Jodi.Perkins@havasformula.com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4039"/>
        <w:spacing w:after="0"/>
        <w:rPr>
          <w:sz w:val="20"/>
          <w:szCs w:val="20"/>
          <w:color w:val="auto"/>
        </w:rPr>
      </w:pPr>
      <w:r>
        <w:rPr>
          <w:rFonts w:ascii="Arial" w:cs="Arial" w:eastAsia="Arial" w:hAnsi="Arial"/>
          <w:sz w:val="22"/>
          <w:szCs w:val="22"/>
          <w:color w:val="auto"/>
        </w:rPr>
        <w:t>Page 2 of 2</w:t>
      </w:r>
    </w:p>
    <w:sectPr>
      <w:pgSz w:w="11900" w:h="16838" w:orient="portrait"/>
      <w:cols w:equalWidth="0" w:num="1">
        <w:col w:w="10139"/>
      </w:cols>
      <w:pgMar w:left="320" w:top="99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2023-06-29T15:31:01Z</dcterms:created>
  <dcterms:modified xsi:type="dcterms:W3CDTF">2023-06-29T15:31:01Z</dcterms:modified>
</cp:coreProperties>
</file>