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 SECURITIES AND EXCHANGE COMMISSION</w:t>
      </w:r>
    </w:p>
    <w:p>
      <w:pPr>
        <w:pStyle w:val="TextBody"/>
        <w:bidi w:val="0"/>
        <w:spacing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before="0" w:after="0"/>
        <w:jc w:val="center"/>
        <w:rPr>
          <w:rFonts w:ascii="Times New Roman;serif" w:hAnsi="Times New Roman;serif"/>
          <w:color w:val="000000"/>
          <w:sz w:val="24"/>
          <w:shd w:fill="FFFFFF" w:val="clear"/>
        </w:rPr>
      </w:pPr>
      <w:r>
        <w:rPr>
          <w:rFonts w:ascii="Times New Roman;serif" w:hAnsi="Times New Roman;serif"/>
          <w:color w:val="000000"/>
          <w:sz w:val="24"/>
          <w:shd w:fill="FFFFFF" w:val="clear"/>
        </w:rPr>
        <w:t>___________________________</w:t>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before="0" w:after="0"/>
        <w:jc w:val="center"/>
        <w:rPr>
          <w:rFonts w:ascii="Times New Roman;serif" w:hAnsi="Times New Roman;serif"/>
          <w:color w:val="000000"/>
          <w:sz w:val="24"/>
          <w:shd w:fill="FFFFFF" w:val="clear"/>
        </w:rPr>
      </w:pPr>
      <w:r>
        <w:rPr>
          <w:rFonts w:ascii="Times New Roman;serif" w:hAnsi="Times New Roman;serif"/>
          <w:color w:val="000000"/>
          <w:sz w:val="24"/>
          <w:shd w:fill="FFFFFF" w:val="clear"/>
        </w:rPr>
        <w:t>___________________________</w:t>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 of The Securities Exchange Act of 1934</w:t>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Date of Report (Date of earliest event reported): October 16, 2023</w:t>
      </w:r>
    </w:p>
    <w:p>
      <w:pPr>
        <w:pStyle w:val="TextBody"/>
        <w:bidi w:val="0"/>
        <w:spacing w:before="0" w:after="0"/>
        <w:jc w:val="center"/>
        <w:rPr>
          <w:rFonts w:ascii="Times New Roman;serif" w:hAnsi="Times New Roman;serif"/>
          <w:color w:val="000000"/>
          <w:sz w:val="24"/>
          <w:shd w:fill="FFFFFF" w:val="clear"/>
        </w:rPr>
      </w:pPr>
      <w:r>
        <w:rPr>
          <w:rFonts w:ascii="Times New Roman;serif" w:hAnsi="Times New Roman;serif"/>
          <w:color w:val="000000"/>
          <w:sz w:val="24"/>
          <w:shd w:fill="FFFFFF" w:val="clear"/>
        </w:rPr>
        <w:t>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14478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4095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Sterling Check Corp.</w:t>
      </w:r>
    </w:p>
    <w:p>
      <w:pPr>
        <w:pStyle w:val="TextBody"/>
        <w:bidi w:val="0"/>
        <w:spacing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before="0" w:after="0"/>
        <w:jc w:val="center"/>
        <w:rPr>
          <w:rFonts w:ascii="Times New Roman;serif" w:hAnsi="Times New Roman;serif"/>
          <w:color w:val="000000"/>
          <w:sz w:val="24"/>
          <w:shd w:fill="FFFFFF" w:val="clear"/>
        </w:rPr>
      </w:pPr>
      <w:r>
        <w:rPr>
          <w:rFonts w:ascii="Times New Roman;serif" w:hAnsi="Times New Roman;serif"/>
          <w:color w:val="000000"/>
          <w:sz w:val="24"/>
          <w:shd w:fill="FFFFFF" w:val="clear"/>
        </w:rPr>
        <w:t>___________________________</w:t>
      </w:r>
    </w:p>
    <w:p>
      <w:pPr>
        <w:pStyle w:val="TextBody"/>
        <w:bidi w:val="0"/>
        <w:spacing w:before="0" w:after="0"/>
        <w:jc w:val="left"/>
        <w:rPr/>
      </w:pPr>
      <w:r>
        <w:rPr/>
      </w:r>
    </w:p>
    <w:tbl>
      <w:tblPr>
        <w:tblW w:w="7049" w:type="dxa"/>
        <w:jc w:val="left"/>
        <w:tblInd w:w="0" w:type="dxa"/>
        <w:tblLayout w:type="fixed"/>
        <w:tblCellMar>
          <w:top w:w="0" w:type="dxa"/>
          <w:left w:w="0" w:type="dxa"/>
          <w:bottom w:w="0" w:type="dxa"/>
          <w:right w:w="0" w:type="dxa"/>
        </w:tblCellMar>
      </w:tblPr>
      <w:tblGrid>
        <w:gridCol w:w="3725"/>
        <w:gridCol w:w="1422"/>
        <w:gridCol w:w="532"/>
        <w:gridCol w:w="1370"/>
      </w:tblGrid>
      <w:tr>
        <w:trPr/>
        <w:tc>
          <w:tcPr>
            <w:tcW w:w="3725" w:type="dxa"/>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954" w:type="dxa"/>
            <w:gridSpan w:val="2"/>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001-40829</w:t>
            </w:r>
          </w:p>
        </w:tc>
        <w:tc>
          <w:tcPr>
            <w:tcW w:w="1370" w:type="dxa"/>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37-1784336</w:t>
            </w:r>
          </w:p>
        </w:tc>
      </w:tr>
      <w:tr>
        <w:trPr/>
        <w:tc>
          <w:tcPr>
            <w:tcW w:w="3725" w:type="dxa"/>
            <w:tcBorders/>
            <w:vAlign w:val="center"/>
          </w:tcPr>
          <w:p>
            <w:pPr>
              <w:pStyle w:val="TableContents"/>
              <w:bidi w:val="0"/>
              <w:spacing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1954" w:type="dxa"/>
            <w:gridSpan w:val="2"/>
            <w:tcBorders/>
            <w:vAlign w:val="center"/>
          </w:tcPr>
          <w:p>
            <w:pPr>
              <w:pStyle w:val="TableContents"/>
              <w:bidi w:val="0"/>
              <w:spacing w:before="0" w:after="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370" w:type="dxa"/>
            <w:tcBorders/>
            <w:vAlign w:val="center"/>
          </w:tcPr>
          <w:p>
            <w:pPr>
              <w:pStyle w:val="TableContents"/>
              <w:bidi w:val="0"/>
              <w:spacing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725" w:type="dxa"/>
            <w:tcBorders/>
            <w:vAlign w:val="center"/>
          </w:tcPr>
          <w:p>
            <w:pPr>
              <w:pStyle w:val="TableContents"/>
              <w:bidi w:val="0"/>
              <w:spacing w:before="0" w:after="283"/>
              <w:jc w:val="center"/>
              <w:rPr>
                <w:b/>
              </w:rPr>
            </w:pPr>
            <w:r>
              <w:rPr>
                <w:b/>
              </w:rPr>
              <w:t>6150 Oak Tree Boulevard, Suite 490</w:t>
            </w:r>
          </w:p>
        </w:tc>
        <w:tc>
          <w:tcPr>
            <w:tcW w:w="1422" w:type="dxa"/>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Independence</w:t>
            </w:r>
          </w:p>
        </w:tc>
        <w:tc>
          <w:tcPr>
            <w:tcW w:w="532" w:type="dxa"/>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Ohio</w:t>
            </w:r>
          </w:p>
        </w:tc>
        <w:tc>
          <w:tcPr>
            <w:tcW w:w="1370" w:type="dxa"/>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44131</w:t>
            </w:r>
          </w:p>
        </w:tc>
      </w:tr>
      <w:tr>
        <w:trPr/>
        <w:tc>
          <w:tcPr>
            <w:tcW w:w="3725" w:type="dxa"/>
            <w:tcBorders/>
            <w:vAlign w:val="center"/>
          </w:tcPr>
          <w:p>
            <w:pPr>
              <w:pStyle w:val="TableContents"/>
              <w:bidi w:val="0"/>
              <w:spacing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954" w:type="dxa"/>
            <w:gridSpan w:val="2"/>
            <w:tcBorders/>
            <w:vAlign w:val="center"/>
          </w:tcPr>
          <w:p>
            <w:pPr>
              <w:pStyle w:val="TableContents"/>
              <w:bidi w:val="0"/>
              <w:spacing w:before="0" w:after="0"/>
              <w:jc w:val="left"/>
              <w:rPr>
                <w:color w:val="000000"/>
              </w:rPr>
            </w:pPr>
            <w:r>
              <w:rPr>
                <w:color w:val="000000"/>
              </w:rPr>
              <w:t> </w:t>
            </w:r>
          </w:p>
        </w:tc>
        <w:tc>
          <w:tcPr>
            <w:tcW w:w="1370" w:type="dxa"/>
            <w:tcBorders/>
            <w:vAlign w:val="center"/>
          </w:tcPr>
          <w:p>
            <w:pPr>
              <w:pStyle w:val="TableContents"/>
              <w:bidi w:val="0"/>
              <w:spacing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1 (800) 853-3228</w:t>
      </w:r>
    </w:p>
    <w:p>
      <w:pPr>
        <w:pStyle w:val="TextBody"/>
        <w:bidi w:val="0"/>
        <w:spacing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p>
      <w:pPr>
        <w:pStyle w:val="TextBody"/>
        <w:bidi w:val="0"/>
        <w:spacing w:before="0" w:after="0"/>
        <w:jc w:val="center"/>
        <w:rPr>
          <w:rFonts w:ascii="Times New Roman;serif" w:hAnsi="Times New Roman;serif"/>
          <w:color w:val="000000"/>
          <w:sz w:val="24"/>
          <w:shd w:fill="FFFFFF" w:val="clear"/>
        </w:rPr>
      </w:pPr>
      <w:r>
        <w:rPr>
          <w:rFonts w:ascii="Times New Roman;serif" w:hAnsi="Times New Roman;serif"/>
          <w:color w:val="000000"/>
          <w:sz w:val="24"/>
          <w:shd w:fill="FFFFFF" w:val="clear"/>
        </w:rPr>
        <w:t>___________________________</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shd w:fill="FFFFFF" w:val="clear"/>
        </w:rPr>
      </w:pPr>
      <w:r>
        <w:rPr>
          <w:rFonts w:ascii="Times New Roman;serif" w:hAnsi="Times New Roman;serif"/>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xml:space="preserve">☐ </w:t>
      </w:r>
      <w:r>
        <w:rPr>
          <w:rFonts w:ascii="Times New Roman;serif" w:hAnsi="Times New Roman;serif"/>
          <w:color w:val="000000"/>
          <w:sz w:val="20"/>
          <w:shd w:fill="FFFFFF" w:val="clear"/>
        </w:rPr>
        <w:t>Written communications pursuant to Rule 425 under the Securities Act (17 CFR 230.425)</w:t>
      </w:r>
    </w:p>
    <w:p>
      <w:pPr>
        <w:pStyle w:val="TextBody"/>
        <w:bidi w:val="0"/>
        <w:spacing w:before="0" w:after="0"/>
        <w:jc w:val="left"/>
        <w:rPr>
          <w:color w:val="000000"/>
          <w:shd w:fill="FFFFFF" w:val="clear"/>
        </w:rPr>
      </w:pPr>
      <w:r>
        <w:rPr>
          <w:color w:val="000000"/>
          <w:shd w:fill="FFFFFF" w:val="clear"/>
        </w:rPr>
        <w:t xml:space="preserve">☐ </w:t>
      </w:r>
      <w:r>
        <w:rPr>
          <w:rFonts w:ascii="Times New Roman;serif" w:hAnsi="Times New Roman;serif"/>
          <w:color w:val="000000"/>
          <w:sz w:val="20"/>
          <w:shd w:fill="FFFFFF" w:val="clear"/>
        </w:rPr>
        <w:t>Soliciting material pursuant to Rule 14a-12 under the Exchange Act (17 CFR 240.14a-12)</w:t>
      </w:r>
    </w:p>
    <w:p>
      <w:pPr>
        <w:pStyle w:val="TextBody"/>
        <w:bidi w:val="0"/>
        <w:spacing w:before="0" w:after="0"/>
        <w:jc w:val="left"/>
        <w:rPr>
          <w:color w:val="000000"/>
          <w:shd w:fill="FFFFFF" w:val="clear"/>
        </w:rPr>
      </w:pPr>
      <w:r>
        <w:rPr>
          <w:color w:val="000000"/>
          <w:shd w:fill="FFFFFF" w:val="clear"/>
        </w:rPr>
        <w:t xml:space="preserve">☐ </w:t>
      </w:r>
      <w:r>
        <w:rPr>
          <w:rFonts w:ascii="Times New Roman;serif" w:hAnsi="Times New Roman;serif"/>
          <w:color w:val="000000"/>
          <w:sz w:val="20"/>
          <w:shd w:fill="FFFFFF" w:val="clear"/>
        </w:rPr>
        <w:t>Pre-commencement communications pursuant to Rule 14d-2(b) under the Exchange Act (17 CFR 240.14d-2(b))</w:t>
      </w:r>
    </w:p>
    <w:p>
      <w:pPr>
        <w:pStyle w:val="TextBody"/>
        <w:bidi w:val="0"/>
        <w:spacing w:before="0" w:after="0"/>
        <w:jc w:val="left"/>
        <w:rPr>
          <w:color w:val="000000"/>
          <w:shd w:fill="FFFFFF" w:val="clear"/>
        </w:rPr>
      </w:pPr>
      <w:r>
        <w:rPr>
          <w:color w:val="000000"/>
          <w:shd w:fill="FFFFFF" w:val="clear"/>
        </w:rPr>
        <w:t xml:space="preserve">☐ </w:t>
      </w:r>
      <w:r>
        <w:rPr>
          <w:rFonts w:ascii="Times New Roman;serif" w:hAnsi="Times New Roman;serif"/>
          <w:color w:val="000000"/>
          <w:sz w:val="20"/>
          <w:shd w:fill="FFFFFF" w:val="clear"/>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shd w:fill="FFFFFF" w:val="clear"/>
        </w:rPr>
      </w:pPr>
      <w:r>
        <w:rPr>
          <w:rFonts w:ascii="Times New Roman;serif" w:hAnsi="Times New Roman;serif"/>
          <w:color w:val="000000"/>
          <w:sz w:val="20"/>
          <w:shd w:fill="FFFFFF" w:val="clear"/>
        </w:rPr>
        <w:t>Securities registered pursuant to Section 12(b) of the Act:</w:t>
      </w:r>
    </w:p>
    <w:p>
      <w:pPr>
        <w:pStyle w:val="TextBody"/>
        <w:bidi w:val="0"/>
        <w:spacing w:before="0" w:after="0"/>
        <w:jc w:val="left"/>
        <w:rPr/>
      </w:pPr>
      <w:r>
        <w:rPr/>
      </w:r>
    </w:p>
    <w:tbl>
      <w:tblPr>
        <w:tblW w:w="8820" w:type="dxa"/>
        <w:jc w:val="left"/>
        <w:tblInd w:w="0" w:type="dxa"/>
        <w:tblLayout w:type="fixed"/>
        <w:tblCellMar>
          <w:top w:w="0" w:type="dxa"/>
          <w:left w:w="0" w:type="dxa"/>
          <w:bottom w:w="28" w:type="dxa"/>
          <w:right w:w="0" w:type="dxa"/>
        </w:tblCellMar>
      </w:tblPr>
      <w:tblGrid>
        <w:gridCol w:w="3380"/>
        <w:gridCol w:w="60"/>
        <w:gridCol w:w="1610"/>
        <w:gridCol w:w="60"/>
        <w:gridCol w:w="3710"/>
      </w:tblGrid>
      <w:tr>
        <w:trPr/>
        <w:tc>
          <w:tcPr>
            <w:tcW w:w="3380" w:type="dxa"/>
            <w:tcBorders>
              <w:bottom w:val="single" w:sz="12" w:space="0" w:color="000000"/>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610" w:type="dxa"/>
            <w:tcBorders>
              <w:bottom w:val="single" w:sz="12" w:space="0" w:color="000000"/>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3710" w:type="dxa"/>
            <w:tcBorders>
              <w:bottom w:val="single" w:sz="12" w:space="0" w:color="000000"/>
            </w:tcBorders>
            <w:vAlign w:val="center"/>
          </w:tcPr>
          <w:p>
            <w:pPr>
              <w:pStyle w:val="TableContents"/>
              <w:bidi w:val="0"/>
              <w:spacing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80" w:type="dxa"/>
            <w:tcBorders/>
            <w:tcMar>
              <w:bottom w:w="0" w:type="dxa"/>
            </w:tcM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Common stock, par value $0.01 per share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610" w:type="dxa"/>
            <w:tcBorders/>
            <w:tcMar>
              <w:bottom w:w="0" w:type="dxa"/>
            </w:tcM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STER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3710" w:type="dxa"/>
            <w:tcBorders/>
            <w:tcMar>
              <w:bottom w:w="0" w:type="dxa"/>
            </w:tcMar>
            <w:vAlign w:val="center"/>
          </w:tcPr>
          <w:p>
            <w:pPr>
              <w:pStyle w:val="TableContents"/>
              <w:bidi w:val="0"/>
              <w:spacing w:before="0" w:after="0"/>
              <w:jc w:val="center"/>
              <w:rPr>
                <w:rFonts w:ascii="Times New Roman;serif" w:hAnsi="Times New Roman;serif"/>
                <w:color w:val="000000"/>
                <w:sz w:val="20"/>
              </w:rPr>
            </w:pPr>
            <w:r>
              <w:rPr>
                <w:rFonts w:ascii="Times New Roman;serif" w:hAnsi="Times New Roman;serif"/>
                <w:color w:val="000000"/>
                <w:sz w:val="20"/>
              </w:rPr>
              <w:t>The Nasdaq Stock Market LLC</w:t>
            </w:r>
          </w:p>
        </w:tc>
      </w:tr>
    </w:tbl>
    <w:p>
      <w:pPr>
        <w:pStyle w:val="TextBody"/>
        <w:bidi w:val="0"/>
        <w:spacing w:before="0" w:after="0"/>
        <w:jc w:val="left"/>
        <w:rPr/>
      </w:pPr>
      <w:r>
        <w:rPr/>
      </w:r>
    </w:p>
    <w:p>
      <w:pPr>
        <w:pStyle w:val="TextBody"/>
        <w:bidi w:val="0"/>
        <w:spacing w:before="0" w:after="0"/>
        <w:jc w:val="left"/>
        <w:rPr>
          <w:rFonts w:ascii="Times New Roman;serif" w:hAnsi="Times New Roman;serif"/>
          <w:color w:val="000000"/>
          <w:sz w:val="20"/>
          <w:shd w:fill="FFFFFF" w:val="clear"/>
        </w:rPr>
      </w:pPr>
      <w:r>
        <w:rPr>
          <w:rFonts w:ascii="Times New Roman;serif" w:hAnsi="Times New Roman;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serif" w:hAnsi="Times New Roman;serif"/>
          <w:color w:val="000000"/>
          <w:sz w:val="24"/>
          <w:shd w:fill="FFFFFF" w:val="clear"/>
        </w:rPr>
      </w:pPr>
      <w:r>
        <w:rPr>
          <w:rFonts w:ascii="Times New Roman;serif" w:hAnsi="Times New Roman;serif"/>
          <w:color w:val="000000"/>
          <w:sz w:val="20"/>
          <w:shd w:fill="FFFFFF" w:val="clear"/>
        </w:rPr>
        <w:t>Emerging growth company</w:t>
      </w:r>
      <w:r>
        <w:rPr>
          <w:rFonts w:ascii="Times New Roman;serif" w:hAnsi="Times New Roman;serif"/>
          <w:color w:val="000000"/>
          <w:sz w:val="24"/>
          <w:shd w:fill="FFFFFF" w:val="clear"/>
        </w:rPr>
        <w:t xml:space="preserve"> ☒</w:t>
      </w:r>
    </w:p>
    <w:p>
      <w:pPr>
        <w:pStyle w:val="TextBody"/>
        <w:bidi w:val="0"/>
        <w:spacing w:before="0" w:after="0"/>
        <w:jc w:val="left"/>
        <w:rPr/>
      </w:pPr>
      <w:r>
        <w:rPr/>
      </w:r>
    </w:p>
    <w:p>
      <w:pPr>
        <w:pStyle w:val="TextBody"/>
        <w:bidi w:val="0"/>
        <w:spacing w:before="0" w:after="0"/>
        <w:jc w:val="left"/>
        <w:rPr>
          <w:rFonts w:ascii="Times New Roman;serif" w:hAnsi="Times New Roman;serif"/>
          <w:color w:val="000000"/>
          <w:sz w:val="24"/>
          <w:shd w:fill="FFFFFF" w:val="clear"/>
        </w:rPr>
      </w:pPr>
      <w:r>
        <w:rPr>
          <w:rFonts w:ascii="Times New Roman;serif" w:hAnsi="Times New Roman;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color w:val="000000"/>
          <w:sz w:val="24"/>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54" w:type="dxa"/>
            <w:tcBorders/>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before="0" w:after="0"/>
        <w:ind w:left="0" w:right="0" w:firstLine="600"/>
        <w:jc w:val="left"/>
        <w:rPr>
          <w:rFonts w:ascii="Times New Roman;serif" w:hAnsi="Times New Roman;serif"/>
          <w:color w:val="000000"/>
          <w:sz w:val="20"/>
          <w:shd w:fill="FFFFFF" w:val="clear"/>
        </w:rPr>
      </w:pPr>
      <w:r>
        <w:rPr>
          <w:rFonts w:ascii="Times New Roman;serif" w:hAnsi="Times New Roman;serif"/>
          <w:color w:val="000000"/>
          <w:sz w:val="20"/>
          <w:shd w:fill="FFFFFF" w:val="clear"/>
        </w:rPr>
        <w:t>On September 28, 2023, Sterling Check Corp. (the “Company”) announced the resignation of its Chief Financial Officer, Peter Walker, effective November 10, 2023. On October 16, 2023, the Board of Directors of the Company appointed Theresa Neri Strong to serve as the Company’s interim Chief Financial Officer effective upon Mr. Walker’s departure. Ms. Strong, age 40, has served as the Company’s Chief Accounting Officer since July 2021 and she will continue to serve in this role during the interim period.  Ms. Strong previously served as the Company’s Global Controller and Head of Reporting from March 2018 to June 2021 and in other financial roles since 2016. There are no arrangements or understandings between Ms. Strong and any other person pursuant to which she was appointed to serve as interim Chief Financial Officer. There are no family relationships between Ms. Strong and any director or executive officer of the Company and she has no direct or indirect material interest in any transaction required to be disclosed pursuant to Item 404(a) of Regulation S-K. Ms. Strong will serve in this capacity while the Company conducts a search, with the assistance of a leading executive search firm, for a new Chief Financial Officer.</w:t>
      </w:r>
    </w:p>
    <w:p>
      <w:pPr>
        <w:pStyle w:val="TextBody"/>
        <w:bidi w:val="0"/>
        <w:spacing w:before="0" w:after="0"/>
        <w:jc w:val="left"/>
        <w:rPr/>
      </w:pPr>
      <w:r>
        <w:rPr/>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600"/>
        <w:jc w:val="left"/>
        <w:rPr>
          <w:rFonts w:ascii="Times New Roman;serif" w:hAnsi="Times New Roman;serif"/>
          <w:color w:val="000000"/>
          <w:sz w:val="20"/>
          <w:shd w:fill="FFFFFF" w:val="clear"/>
        </w:rPr>
      </w:pPr>
      <w:r>
        <w:rPr>
          <w:rFonts w:ascii="Times New Roman;serif" w:hAnsi="Times New Roman;serif"/>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10" w:type="dxa"/>
        <w:jc w:val="left"/>
        <w:tblInd w:w="0" w:type="dxa"/>
        <w:tblLayout w:type="fixed"/>
        <w:tblCellMar>
          <w:top w:w="0" w:type="dxa"/>
          <w:left w:w="0" w:type="dxa"/>
          <w:bottom w:w="0" w:type="dxa"/>
          <w:right w:w="0" w:type="dxa"/>
        </w:tblCellMar>
      </w:tblPr>
      <w:tblGrid>
        <w:gridCol w:w="1445"/>
        <w:gridCol w:w="545"/>
        <w:gridCol w:w="3245"/>
        <w:gridCol w:w="75"/>
      </w:tblGrid>
      <w:tr>
        <w:trPr/>
        <w:tc>
          <w:tcPr>
            <w:tcW w:w="144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3245" w:type="dxa"/>
            <w:tcBorders/>
            <w:vAlign w:val="center"/>
          </w:tcPr>
          <w:p>
            <w:pPr>
              <w:pStyle w:val="TableContents"/>
              <w:bidi w:val="0"/>
              <w:spacing w:before="0" w:after="0"/>
              <w:jc w:val="left"/>
              <w:rPr>
                <w:rFonts w:ascii="Times New Roman;serif" w:hAnsi="Times New Roman;serif"/>
                <w:b/>
                <w:color w:val="000000"/>
                <w:sz w:val="20"/>
              </w:rPr>
            </w:pPr>
            <w:r>
              <w:rPr>
                <w:rFonts w:ascii="Times New Roman;serif" w:hAnsi="Times New Roman;serif"/>
                <w:b/>
                <w:color w:val="000000"/>
                <w:sz w:val="20"/>
              </w:rPr>
              <w:t>STERLING CHECK CORP.</w:t>
            </w:r>
          </w:p>
        </w:tc>
        <w:tc>
          <w:tcPr>
            <w:tcW w:w="75" w:type="dxa"/>
            <w:tcBorders/>
            <w:vAlign w:val="center"/>
          </w:tcPr>
          <w:p>
            <w:pPr>
              <w:pStyle w:val="TableContents"/>
              <w:bidi w:val="0"/>
              <w:spacing w:before="0" w:after="0"/>
              <w:jc w:val="left"/>
              <w:rPr>
                <w:color w:val="000000"/>
              </w:rPr>
            </w:pPr>
            <w:r>
              <w:rPr>
                <w:color w:val="000000"/>
              </w:rPr>
              <w:t> </w:t>
            </w:r>
          </w:p>
        </w:tc>
      </w:tr>
      <w:tr>
        <w:trPr/>
        <w:tc>
          <w:tcPr>
            <w:tcW w:w="144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3245" w:type="dxa"/>
            <w:tcBorders/>
            <w:vAlign w:val="center"/>
          </w:tcPr>
          <w:p>
            <w:pPr>
              <w:pStyle w:val="TableContents"/>
              <w:bidi w:val="0"/>
              <w:spacing w:before="0" w:after="0"/>
              <w:jc w:val="left"/>
              <w:rPr>
                <w:color w:val="000000"/>
              </w:rPr>
            </w:pPr>
            <w:r>
              <w:rPr>
                <w:color w:val="000000"/>
              </w:rPr>
              <w:t> </w:t>
            </w:r>
          </w:p>
        </w:tc>
        <w:tc>
          <w:tcPr>
            <w:tcW w:w="75" w:type="dxa"/>
            <w:tcBorders/>
            <w:vAlign w:val="center"/>
          </w:tcPr>
          <w:p>
            <w:pPr>
              <w:pStyle w:val="TableContents"/>
              <w:bidi w:val="0"/>
              <w:spacing w:before="0" w:after="0"/>
              <w:jc w:val="left"/>
              <w:rPr>
                <w:color w:val="000000"/>
              </w:rPr>
            </w:pPr>
            <w:r>
              <w:rPr>
                <w:color w:val="000000"/>
              </w:rPr>
              <w:t> </w:t>
            </w:r>
          </w:p>
        </w:tc>
      </w:tr>
      <w:tr>
        <w:trPr/>
        <w:tc>
          <w:tcPr>
            <w:tcW w:w="144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October 16, 2023</w:t>
            </w:r>
          </w:p>
        </w:tc>
        <w:tc>
          <w:tcPr>
            <w:tcW w:w="54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By:</w:t>
            </w:r>
          </w:p>
        </w:tc>
        <w:tc>
          <w:tcPr>
            <w:tcW w:w="3245" w:type="dxa"/>
            <w:tcBorders>
              <w:bottom w:val="single" w:sz="12" w:space="0" w:color="000000"/>
            </w:tcBorders>
            <w:tcMar>
              <w:bottom w:w="28" w:type="dxa"/>
            </w:tcMar>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/s/ Steven Barnett</w:t>
            </w:r>
          </w:p>
        </w:tc>
        <w:tc>
          <w:tcPr>
            <w:tcW w:w="75" w:type="dxa"/>
            <w:tcBorders/>
            <w:vAlign w:val="center"/>
          </w:tcPr>
          <w:p>
            <w:pPr>
              <w:pStyle w:val="TableContents"/>
              <w:bidi w:val="0"/>
              <w:spacing w:before="0" w:after="0"/>
              <w:jc w:val="left"/>
              <w:rPr>
                <w:color w:val="000000"/>
              </w:rPr>
            </w:pPr>
            <w:r>
              <w:rPr>
                <w:color w:val="000000"/>
              </w:rPr>
              <w:t> </w:t>
            </w:r>
          </w:p>
        </w:tc>
      </w:tr>
      <w:tr>
        <w:trPr/>
        <w:tc>
          <w:tcPr>
            <w:tcW w:w="144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Name:</w:t>
            </w:r>
          </w:p>
        </w:tc>
        <w:tc>
          <w:tcPr>
            <w:tcW w:w="324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Steven Barnett</w:t>
            </w:r>
          </w:p>
        </w:tc>
        <w:tc>
          <w:tcPr>
            <w:tcW w:w="75" w:type="dxa"/>
            <w:tcBorders/>
            <w:vAlign w:val="center"/>
          </w:tcPr>
          <w:p>
            <w:pPr>
              <w:pStyle w:val="TableContents"/>
              <w:bidi w:val="0"/>
              <w:spacing w:before="0" w:after="0"/>
              <w:jc w:val="left"/>
              <w:rPr>
                <w:color w:val="000000"/>
              </w:rPr>
            </w:pPr>
            <w:r>
              <w:rPr>
                <w:color w:val="000000"/>
              </w:rPr>
              <w:t> </w:t>
            </w:r>
          </w:p>
        </w:tc>
      </w:tr>
      <w:tr>
        <w:trPr/>
        <w:tc>
          <w:tcPr>
            <w:tcW w:w="144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Title:</w:t>
            </w:r>
          </w:p>
        </w:tc>
        <w:tc>
          <w:tcPr>
            <w:tcW w:w="3245" w:type="dxa"/>
            <w:tcBorders/>
            <w:vAlign w:val="center"/>
          </w:tcPr>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Executive Vice President, Secretary and</w:t>
              <w:br/>
              <w:t>Chief Legal &amp; Risk Officer</w:t>
            </w:r>
          </w:p>
        </w:tc>
        <w:tc>
          <w:tcPr>
            <w:tcW w:w="75" w:type="dxa"/>
            <w:tcBorders/>
            <w:vAlign w:val="center"/>
          </w:tcPr>
          <w:p>
            <w:pPr>
              <w:pStyle w:val="TableContents"/>
              <w:bidi w:val="0"/>
              <w:spacing w:before="0" w:after="0"/>
              <w:jc w:val="left"/>
              <w:rPr>
                <w:color w:val="000000"/>
              </w:rPr>
            </w:pPr>
            <w:r>
              <w:rPr>
                <w:color w:val="000000"/>
              </w:rPr>
              <w:t> </w:t>
            </w:r>
          </w:p>
        </w:tc>
      </w:tr>
      <w:tr>
        <w:trPr/>
        <w:tc>
          <w:tcPr>
            <w:tcW w:w="1445" w:type="dxa"/>
            <w:tcBorders/>
            <w:vAlign w:val="center"/>
          </w:tcPr>
          <w:p>
            <w:pPr>
              <w:pStyle w:val="TableContents"/>
              <w:bidi w:val="0"/>
              <w:spacing w:before="0" w:after="0"/>
              <w:jc w:val="left"/>
              <w:rPr>
                <w:color w:val="000000"/>
              </w:rPr>
            </w:pPr>
            <w:r>
              <w:rPr>
                <w:color w:val="000000"/>
              </w:rPr>
              <w:t> </w:t>
            </w:r>
          </w:p>
        </w:tc>
        <w:tc>
          <w:tcPr>
            <w:tcW w:w="545" w:type="dxa"/>
            <w:tcBorders/>
            <w:vAlign w:val="center"/>
          </w:tcPr>
          <w:p>
            <w:pPr>
              <w:pStyle w:val="TableContents"/>
              <w:bidi w:val="0"/>
              <w:spacing w:before="0" w:after="0"/>
              <w:jc w:val="left"/>
              <w:rPr>
                <w:color w:val="000000"/>
              </w:rPr>
            </w:pPr>
            <w:r>
              <w:rPr>
                <w:color w:val="000000"/>
              </w:rPr>
              <w:t> </w:t>
            </w:r>
          </w:p>
        </w:tc>
        <w:tc>
          <w:tcPr>
            <w:tcW w:w="3245" w:type="dxa"/>
            <w:tcBorders/>
            <w:vAlign w:val="center"/>
          </w:tcPr>
          <w:p>
            <w:pPr>
              <w:pStyle w:val="TableContents"/>
              <w:bidi w:val="0"/>
              <w:spacing w:before="0" w:after="0"/>
              <w:jc w:val="left"/>
              <w:rPr>
                <w:color w:val="000000"/>
              </w:rPr>
            </w:pPr>
            <w:r>
              <w:rPr>
                <w:color w:val="000000"/>
              </w:rPr>
              <w:t> </w:t>
            </w:r>
          </w:p>
        </w:tc>
        <w:tc>
          <w:tcPr>
            <w:tcW w:w="75" w:type="dxa"/>
            <w:tcBorders/>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3286</Characters>
  <CharactersWithSpaces>3836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