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7354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735457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PEIREZ JOSHUA L</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STERLING CHECK CORP.</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6150 OAK TREE BOULEVARD, SUITE 490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Sterling Check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STER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10/31/2024</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4" w:lineRule="exact"/>
        <w:rPr>
          <w:sz w:val="24"/>
          <w:szCs w:val="24"/>
          <w:color w:val="auto"/>
        </w:rPr>
      </w:pPr>
    </w:p>
    <w:p>
      <w:pPr>
        <w:sectPr>
          <w:pgSz w:w="11900" w:h="16838" w:orient="portrait"/>
          <w:cols w:equalWidth="0" w:num="3">
            <w:col w:w="3180" w:space="720"/>
            <w:col w:w="3100" w:space="720"/>
            <w:col w:w="3360"/>
          </w:cols>
          <w:pgMar w:left="460" w:top="214" w:right="359" w:bottom="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gridSpan w:val="7"/>
          </w:tcPr>
          <w:p>
            <w:pPr>
              <w:jc w:val="right"/>
              <w:ind w:right="10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60" w:type="dxa"/>
            <w:vAlign w:val="bottom"/>
            <w:gridSpan w:val="9"/>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INDEPENDENCE OH</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44131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ind w:left="120"/>
              <w:spacing w:after="0" w:line="132"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5"/>
          </w:tcPr>
          <w:p>
            <w:pPr>
              <w:ind w:left="1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20" w:type="dxa"/>
            <w:vAlign w:val="bottom"/>
            <w:gridSpan w:val="3"/>
          </w:tcPr>
          <w:p>
            <w:pPr>
              <w:ind w:left="4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w w:val="98"/>
              </w:rPr>
              <w:t>10/31/2024</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(1)(2)</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0000FF"/>
              </w:rPr>
              <w:t>375,295</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0"/>
                <w:szCs w:val="10"/>
                <w:color w:val="008000"/>
              </w:rPr>
              <w:t>(1)(2)</w:t>
            </w:r>
          </w:p>
        </w:tc>
        <w:tc>
          <w:tcPr>
            <w:tcW w:w="7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4"/>
          </w:tcPr>
          <w:p>
            <w:pPr>
              <w:ind w:left="940"/>
              <w:spacing w:after="0"/>
              <w:rPr>
                <w:sz w:val="20"/>
                <w:szCs w:val="20"/>
                <w:color w:val="auto"/>
              </w:rPr>
            </w:pPr>
            <w:r>
              <w:rPr>
                <w:rFonts w:ascii="Times New Roman" w:cs="Times New Roman" w:eastAsia="Times New Roman" w:hAnsi="Times New Roman"/>
                <w:sz w:val="16"/>
                <w:szCs w:val="16"/>
                <w:color w:val="0000FF"/>
                <w:w w:val="98"/>
              </w:rPr>
              <w:t>10/31/2024</w:t>
            </w: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(4)</w:t>
            </w:r>
          </w:p>
        </w:tc>
        <w:tc>
          <w:tcPr>
            <w:tcW w:w="116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0000FF"/>
              </w:rPr>
              <w:t>1,308,846</w:t>
            </w:r>
            <w:r>
              <w:rPr>
                <w:rFonts w:ascii="Times New Roman" w:cs="Times New Roman" w:eastAsia="Times New Roman" w:hAnsi="Times New Roman"/>
                <w:sz w:val="20"/>
                <w:szCs w:val="20"/>
                <w:color w:val="008000"/>
                <w:vertAlign w:val="superscript"/>
              </w:rPr>
              <w:t>(3)</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D</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6"/>
                <w:szCs w:val="16"/>
                <w:color w:val="0000FF"/>
                <w:w w:val="99"/>
              </w:rPr>
              <w:t>0</w:t>
            </w: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9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restart"/>
          </w:tcPr>
          <w:p>
            <w:pPr>
              <w:ind w:left="140"/>
              <w:spacing w:after="0" w:line="26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(8)</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1,563,126</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10/31/2024</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left="182"/>
              <w:spacing w:after="0" w:line="125" w:lineRule="exact"/>
              <w:rPr>
                <w:sz w:val="20"/>
                <w:szCs w:val="20"/>
                <w:color w:val="auto"/>
              </w:rPr>
            </w:pPr>
            <w:r>
              <w:rPr>
                <w:rFonts w:ascii="Times New Roman" w:cs="Times New Roman" w:eastAsia="Times New Roman" w:hAnsi="Times New Roman"/>
                <w:sz w:val="12"/>
                <w:szCs w:val="12"/>
                <w:color w:val="0000FF"/>
              </w:rPr>
              <w:t>1,563,126</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ind w:left="38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restart"/>
          </w:tcPr>
          <w:p>
            <w:pPr>
              <w:ind w:left="20"/>
              <w:spacing w:after="0" w:line="274"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(5)(6)(7)</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(5)(6)(7)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99"/>
              </w:rPr>
              <w:t>239,600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9.6829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239,600</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restart"/>
          </w:tcPr>
          <w:p>
            <w:pPr>
              <w:ind w:left="20"/>
              <w:spacing w:after="0" w:line="263"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(5)(6)(7)</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(5)(6)(7)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1,497,500</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9.6829</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10/31/2024</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left="182"/>
              <w:spacing w:after="0" w:line="125" w:lineRule="exact"/>
              <w:rPr>
                <w:sz w:val="20"/>
                <w:szCs w:val="20"/>
                <w:color w:val="auto"/>
              </w:rPr>
            </w:pPr>
            <w:r>
              <w:rPr>
                <w:rFonts w:ascii="Times New Roman" w:cs="Times New Roman" w:eastAsia="Times New Roman" w:hAnsi="Times New Roman"/>
                <w:sz w:val="12"/>
                <w:szCs w:val="12"/>
                <w:color w:val="0000FF"/>
              </w:rPr>
              <w:t>1,497,500</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ind w:left="380"/>
              <w:spacing w:after="0" w:line="125" w:lineRule="exact"/>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restart"/>
          </w:tcPr>
          <w:p>
            <w:pPr>
              <w:ind w:left="20"/>
              <w:spacing w:after="0" w:line="274"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(5)(6)(7)</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(5)(6)(7)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99"/>
              </w:rPr>
              <w:t>643,326</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9.6829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643,326</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restart"/>
          </w:tcPr>
          <w:p>
            <w:pPr>
              <w:ind w:left="140"/>
              <w:spacing w:after="0" w:line="274"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(8)</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99"/>
              </w:rPr>
              <w:t>263,543</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22.35</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263,543</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vMerge w:val="restart"/>
          </w:tcPr>
          <w:p>
            <w:pPr>
              <w:ind w:left="20"/>
              <w:spacing w:after="0" w:line="274"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(5)(6)(7)</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(5)(6)(7)</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Common</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99"/>
              </w:rPr>
              <w:t>403,112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(5)(6)(7)</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60" w:type="dxa"/>
            <w:vAlign w:val="bottom"/>
            <w:vMerge w:val="restart"/>
          </w:tcPr>
          <w:p>
            <w:pPr>
              <w:jc w:val="center"/>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12.79</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10/31/2024</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restart"/>
          </w:tcPr>
          <w:p>
            <w:pPr>
              <w:jc w:val="center"/>
              <w:ind w:left="202"/>
              <w:spacing w:after="0"/>
              <w:rPr>
                <w:sz w:val="20"/>
                <w:szCs w:val="20"/>
                <w:color w:val="auto"/>
              </w:rPr>
            </w:pPr>
            <w:r>
              <w:rPr>
                <w:rFonts w:ascii="Times New Roman" w:cs="Times New Roman" w:eastAsia="Times New Roman" w:hAnsi="Times New Roman"/>
                <w:sz w:val="12"/>
                <w:szCs w:val="12"/>
                <w:color w:val="0000FF"/>
              </w:rPr>
              <w:t>403,112</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0</w:t>
            </w:r>
          </w:p>
        </w:tc>
        <w:tc>
          <w:tcPr>
            <w:tcW w:w="280" w:type="dxa"/>
            <w:vAlign w:val="bottom"/>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6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Company common stock ("Company Common Stock") were disposed of pursuant to the Agreement and Plan of Merger, dated as of February 28, 2024 (the "Merger Agreement"), by and among Sterling Check Corp., a Delaware corporation (the "Company"), First Advantage Corporation, a Delaware corporation ("Parent"), and Starter Merger Sub, Inc., a Delaware corporation and an indirect wholly-owned subsidiary of Parent, whereby at the effective time of the merger contemplated therein (the "Effective Time"), [Footnote continued below]</w:t>
      </w:r>
    </w:p>
    <w:p>
      <w:pPr>
        <w:spacing w:after="0" w:line="13" w:lineRule="exact"/>
        <w:rPr>
          <w:rFonts w:ascii="Times New Roman" w:cs="Times New Roman" w:eastAsia="Times New Roman" w:hAnsi="Times New Roman"/>
          <w:sz w:val="12"/>
          <w:szCs w:val="12"/>
          <w:color w:val="008000"/>
        </w:rPr>
      </w:pPr>
    </w:p>
    <w:p>
      <w:pPr>
        <w:ind w:left="40" w:right="180" w:hanging="3"/>
        <w:spacing w:after="0" w:line="25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[Footnote continued from above] each share of Company Common Stock issued and outstanding immediately prior to the Effective Time was converted into the right to receive, at the election of the holder of such share of Company Common Stock, and subject to proration in accordance with the Merger Agreement: (i) $16.73 per share in cash, without interest (the "Cash Consideration") or (ii) 0.979 shares of common stock, par value $0.001 per share, of Parent, together with cash in lieu of fractional shares, if any, at the rate per share of common stock of Parent of the last reported sale price of common stock of Parent on NASDAQ (as reported in The Wall Street Journal or, if not reported therein, in another authoritative source mutually selected by Parent and the Company) on the last complete trading day prior to the date of the Effective Time (the "Stock Consideration").</w:t>
      </w:r>
    </w:p>
    <w:p>
      <w:pPr>
        <w:spacing w:after="0" w:line="162"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number reflects the number of shares of Company Common Stock subject to outstanding restricted stock awards.</w:t>
      </w:r>
    </w:p>
    <w:p>
      <w:pPr>
        <w:spacing w:after="0" w:line="49" w:lineRule="exact"/>
        <w:rPr>
          <w:rFonts w:ascii="Times New Roman" w:cs="Times New Roman" w:eastAsia="Times New Roman" w:hAnsi="Times New Roman"/>
          <w:sz w:val="12"/>
          <w:szCs w:val="12"/>
          <w:color w:val="008000"/>
        </w:rPr>
      </w:pPr>
    </w:p>
    <w:p>
      <w:pPr>
        <w:ind w:left="40" w:right="300" w:hanging="3"/>
        <w:spacing w:after="0" w:line="255"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as of the Effective Time, each restricted share of Company Common Stock (each, a "Company Restricted Share") was converted into the right to receive, at the election of the holder of such Company Restricted Share, and subject to proration in accordance with the Merger Agreement: (i) $16.73 per share in restricted cash (the "Restricted Cash Consideration") or (ii) 0.979 shares of Stock Consideration, in the form of restricted stock of Parent (the "Restricted Stock Consideration"), in either case, subject to substantially the same terms and conditions as were applicable to such Company Restricted Shares.</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hanging="3"/>
        <w:spacing w:after="0" w:line="249"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as of the Effective Time, each outstanding in-the-money Company stock option (i.e., a stock option that has an exercise price per share that is less than the per-share cash consideration of $16.73) (each, an "In-The-Money Company Stock Option"), whether vested or unvested, was canceled, with the holder becoming entitled to receive merger consideration based on each share of Net Option Stock that is associated with such In-The-Money Company Stock Option. The number of shares of "Net Option Stock" subject to an In-The-Money Company Stock Option is the number of shares of Company Common Stock equal to the excess of $16.73 over the per-share exercise price of such In-The-Money Company Stock Option multiplied by the number of shares of Company Common Stock underlying such In-The-Money Company Stock Option divided by $16.73.</w:t>
      </w:r>
    </w:p>
    <w:p>
      <w:pPr>
        <w:spacing w:after="0" w:line="21" w:lineRule="exact"/>
        <w:rPr>
          <w:rFonts w:ascii="Times New Roman" w:cs="Times New Roman" w:eastAsia="Times New Roman" w:hAnsi="Times New Roman"/>
          <w:sz w:val="12"/>
          <w:szCs w:val="12"/>
          <w:color w:val="008000"/>
        </w:rPr>
      </w:pPr>
    </w:p>
    <w:p>
      <w:pPr>
        <w:ind w:left="3" w:right="60" w:hanging="3"/>
        <w:spacing w:after="0" w:line="282"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as of the Effective Time, each outstanding share of Net Option Stock associated with vested In-The-Money Company Stock Options ("Vested Net Option Stock") was converted into the right to receive, at the election of the holder, and subject to proration in accordance with the Merger Agreement: (i) the Cash Consideration or (ii) the Stock Consideration.</w:t>
      </w:r>
    </w:p>
    <w:p>
      <w:pPr>
        <w:ind w:left="3" w:right="140" w:hanging="3"/>
        <w:spacing w:after="0" w:line="260"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as of the Effective Time, each outstanding share of Net Option Stock associated with unvested In-The-Money Company Stock Options ("Unvested Net Option Stock") was converted into the right to receive, at the election of the holder, and subject to proration in accordance with the Merger Agreement: (i) the Restricted Cash Consideration or (ii) the Restricted Stock Consideration, in either case, subject to substantially the same terms and conditions as were applicable under such In-The-Money Company Stock Options underlying the Unvested Net Option Stock.</w:t>
      </w:r>
    </w:p>
    <w:p>
      <w:pPr>
        <w:spacing w:after="0" w:line="13" w:lineRule="exact"/>
        <w:rPr>
          <w:rFonts w:ascii="Times New Roman" w:cs="Times New Roman" w:eastAsia="Times New Roman" w:hAnsi="Times New Roman"/>
          <w:sz w:val="12"/>
          <w:szCs w:val="12"/>
          <w:color w:val="008000"/>
        </w:rPr>
      </w:pPr>
    </w:p>
    <w:p>
      <w:pPr>
        <w:ind w:left="3" w:right="40" w:hanging="3"/>
        <w:spacing w:after="0" w:line="283"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as of the Effective Time, each outstanding out-of-the-money Company Stock option (i.e., a stock option that has an exercise price per share that is greater than the per-share cash consideration of $16.73), whether vested or unvested, was canceled for no consideration.</w:t>
      </w:r>
    </w:p>
    <w:p>
      <w:pPr>
        <w:spacing w:after="0" w:line="2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Amanda DeGasperi,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9652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5200" cy="7620"/>
                    </a:xfrm>
                    <a:prstGeom prst="rect">
                      <a:avLst/>
                    </a:prstGeom>
                    <a:noFill/>
                  </pic:spPr>
                </pic:pic>
              </a:graphicData>
            </a:graphic>
          </wp:anchor>
        </w:drawing>
      </w:r>
    </w:p>
    <w:p>
      <w:pPr>
        <w:spacing w:after="0" w:line="7" w:lineRule="exact"/>
        <w:rPr>
          <w:sz w:val="20"/>
          <w:szCs w:val="20"/>
          <w:color w:val="auto"/>
        </w:rPr>
      </w:pPr>
    </w:p>
    <w:p>
      <w:pPr>
        <w:ind w:left="6563"/>
        <w:spacing w:after="0"/>
        <w:tabs>
          <w:tab w:leader="none" w:pos="8742" w:val="left"/>
        </w:tabs>
        <w:rPr>
          <w:sz w:val="20"/>
          <w:szCs w:val="20"/>
          <w:color w:val="auto"/>
        </w:rPr>
      </w:pPr>
      <w:r>
        <w:rPr>
          <w:rFonts w:ascii="Times New Roman" w:cs="Times New Roman" w:eastAsia="Times New Roman" w:hAnsi="Times New Roman"/>
          <w:sz w:val="16"/>
          <w:szCs w:val="16"/>
          <w:color w:val="0000FF"/>
        </w:rPr>
        <w:t>Attorney-in-Fact for Joshua L.</w:t>
      </w:r>
      <w:r>
        <w:rPr>
          <w:sz w:val="20"/>
          <w:szCs w:val="20"/>
          <w:color w:val="auto"/>
        </w:rPr>
        <w:tab/>
      </w:r>
      <w:r>
        <w:rPr>
          <w:rFonts w:ascii="Times New Roman" w:cs="Times New Roman" w:eastAsia="Times New Roman" w:hAnsi="Times New Roman"/>
          <w:sz w:val="15"/>
          <w:szCs w:val="15"/>
          <w:color w:val="0000FF"/>
        </w:rPr>
        <w:t>11/04/2024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8618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182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Peirez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25781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7810" cy="7620"/>
                    </a:xfrm>
                    <a:prstGeom prst="rect">
                      <a:avLst/>
                    </a:prstGeom>
                    <a:noFill/>
                  </pic:spPr>
                </pic:pic>
              </a:graphicData>
            </a:graphic>
          </wp:anchor>
        </w:drawing>
      </w:r>
    </w:p>
    <w:p>
      <w:pPr>
        <w:spacing w:after="0" w:line="35"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00" w:hanging="3"/>
        <w:spacing w:after="0" w:line="325"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3"/>
      </w:cols>
      <w:pgMar w:left="497"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00892" TargetMode="External"/><Relationship Id="rId14"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2024-11-04T20:30:21Z</dcterms:created>
  <dcterms:modified xsi:type="dcterms:W3CDTF">2024-11-04T20:30:21Z</dcterms:modified>
</cp:coreProperties>
</file>