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31, 2024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333-268996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32"/>
          <w:szCs w:val="32"/>
          <w:b w:val="1"/>
          <w:bCs w:val="1"/>
          <w:color w:val="auto"/>
        </w:rPr>
        <w:t>POST-EFFECTIVE AMENDMENT NO. 1</w:t>
      </w:r>
    </w:p>
    <w:p>
      <w:pPr>
        <w:spacing w:after="0" w:line="35"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32"/>
          <w:szCs w:val="32"/>
          <w:b w:val="1"/>
          <w:bCs w:val="1"/>
          <w:color w:val="auto"/>
        </w:rPr>
        <w:t>TO</w:t>
      </w:r>
    </w:p>
    <w:p>
      <w:pPr>
        <w:ind w:left="4700"/>
        <w:spacing w:after="0" w:line="237" w:lineRule="auto"/>
        <w:rPr>
          <w:sz w:val="20"/>
          <w:szCs w:val="20"/>
          <w:color w:val="auto"/>
        </w:rPr>
      </w:pPr>
      <w:r>
        <w:rPr>
          <w:rFonts w:ascii="Times New Roman" w:cs="Times New Roman" w:eastAsia="Times New Roman" w:hAnsi="Times New Roman"/>
          <w:sz w:val="32"/>
          <w:szCs w:val="32"/>
          <w:b w:val="1"/>
          <w:bCs w:val="1"/>
          <w:color w:val="auto"/>
        </w:rPr>
        <w:t>FORM S-3</w:t>
      </w:r>
    </w:p>
    <w:p>
      <w:pPr>
        <w:ind w:left="3220"/>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Sterling Check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37-1784336</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Number)</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6150 Oak Tree Boulevard, Suite 490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Independence, Ohio 44131</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(310) 252-8100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Bret T. Jardine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Legal Officer &amp;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Sterling Check Corp.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First Advantage Corporation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Concourse Parkway NE,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Atlanta, Georgia 30328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(888) 314-9761</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Kenneth B. Wallach,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Xiaohui (Hui) Lin,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Simpson Thacher &amp; Bartlett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425 Lexington Avenue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455-2000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(Approximate date of commencement of proposed sale to the public): Not applicable. Removal from registration of securities that were registered but not sold pursuant to this registration statement.</w:t>
      </w:r>
    </w:p>
    <w:p>
      <w:pPr>
        <w:spacing w:after="0" w:line="162" w:lineRule="exact"/>
        <w:rPr>
          <w:sz w:val="24"/>
          <w:szCs w:val="24"/>
          <w:color w:val="auto"/>
        </w:rPr>
      </w:pPr>
    </w:p>
    <w:p>
      <w:pPr>
        <w:ind w:right="400"/>
        <w:spacing w:after="0" w:line="239"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ind w:right="3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ectPr>
          <w:pgSz w:w="11900" w:h="16838" w:orient="portrait"/>
          <w:cols w:equalWidth="0" w:num="1">
            <w:col w:w="11020"/>
          </w:cols>
          <w:pgMar w:left="440" w:top="225" w:right="4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0"/>
          <w:szCs w:val="20"/>
          <w:color w:val="auto"/>
        </w:rPr>
      </w:pPr>
    </w:p>
    <w:p>
      <w:pPr>
        <w:ind w:right="2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1" w:right="49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DEREGISTRATION OF SECURITIES</w:t>
      </w:r>
    </w:p>
    <w:p>
      <w:pPr>
        <w:spacing w:after="0" w:line="229" w:lineRule="exact"/>
        <w:rPr>
          <w:sz w:val="20"/>
          <w:szCs w:val="20"/>
          <w:color w:val="auto"/>
        </w:rPr>
      </w:pPr>
    </w:p>
    <w:p>
      <w:pPr>
        <w:ind w:right="2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Post-Effective Amendment No. 1 relates to the Registration Statement on Form S-3 (File No. 333-268996) (the “Registration Statement”) of Sterling Check Corp., a Delaware corporation (“Sterling”), which was filed with the Securities and Exchange Commission on December 23, 2022, as amended on </w:t>
      </w:r>
      <w:hyperlink r:id="rId19">
        <w:r>
          <w:rPr>
            <w:rFonts w:ascii="Times New Roman" w:cs="Times New Roman" w:eastAsia="Times New Roman" w:hAnsi="Times New Roman"/>
            <w:sz w:val="18"/>
            <w:szCs w:val="18"/>
            <w:u w:val="single" w:color="auto"/>
            <w:color w:val="0000EE"/>
          </w:rPr>
          <w:t>January 20, 2023</w:t>
        </w:r>
      </w:hyperlink>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October 31, 2024, pursuant to and subject to the terms of the previously announced Agreement and Plan of Merger, dated as of February 28, 2024 (the “Merger Agreement”), by and among First Advantage Corporation (“First Advantage”), Sterling, and Starter Merger Sub, Inc., a Delaware corporation and an indirect, wholly-owned subsidiary of First Advantage (“Merger Sub”), Merger Sub merged with and into Sterling, with Sterling surviving the merger with Merger Sub and becoming an indirect, wholly-owned subsidiary of First Advantage (the “Transaction”).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a result of the Transaction, any and all offerings of securities registered pursuant to the Registration Statement have been terminated. In accordance with undertakings made by Sterling in the Registration Statement to remove from registration, by means of a post-effective amendment, any of the securities registered under the Registration Statement that remain unsold at the termination of the offering, Sterling hereby removes from registration all securities registered under the Registration Statement but unsold as of the date hereof.</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to be signed on its behalf by the undersigned, thereunto duly authorized, in the city of Atlanta, State of Georgia, on October 31,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STERLING CHECK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Bret T. Jardine</w:t>
      </w:r>
    </w:p>
    <w:p>
      <w:pPr>
        <w:spacing w:after="0" w:line="27" w:lineRule="exact"/>
        <w:rPr>
          <w:sz w:val="20"/>
          <w:szCs w:val="20"/>
          <w:color w:val="auto"/>
        </w:rPr>
      </w:pPr>
    </w:p>
    <w:tbl>
      <w:tblPr>
        <w:tblLayout w:type="fixed"/>
        <w:tblInd w:w="6960" w:type="dxa"/>
        <w:tblCellMar>
          <w:top w:w="0" w:type="dxa"/>
          <w:left w:w="0" w:type="dxa"/>
          <w:bottom w:w="0" w:type="dxa"/>
          <w:right w:w="0" w:type="dxa"/>
        </w:tblCellMar>
      </w:tblPr>
      <w:tr>
        <w:trPr>
          <w:trHeight w:val="205"/>
        </w:trPr>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8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Bret T. Jardine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9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 on Form S-3 in reliance upon Rule 478 under the Securities Act of 1933.</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19" Type="http://schemas.openxmlformats.org/officeDocument/2006/relationships/hyperlink" Target="http://www.sec.gov/Archives/edgar/data/1645070/000162828023001341/sterling-sx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2024-10-31T08:07:15Z</dcterms:created>
  <dcterms:modified xsi:type="dcterms:W3CDTF">2024-10-31T08:07:15Z</dcterms:modified>
</cp:coreProperties>
</file>